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D5D9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bookmarkStart w:id="0" w:name="_Hlk152149056"/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REPUBLIKA HRVATSKA </w:t>
      </w:r>
    </w:p>
    <w:p w14:paraId="3194D327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SPLITSKO-DALMATINSKA ŽUPANIJA</w:t>
      </w:r>
    </w:p>
    <w:p w14:paraId="3575599B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GRAD TRILJ</w:t>
      </w:r>
    </w:p>
    <w:p w14:paraId="71FB725C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GRADONAČELNIK</w:t>
      </w:r>
    </w:p>
    <w:p w14:paraId="565F3892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Trilj, 13. veljače 2025. g.</w:t>
      </w:r>
    </w:p>
    <w:p w14:paraId="1E0A0A57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23B6228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3B315500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GRADSKO VIJEĆE GRADA TRILJA</w:t>
      </w:r>
    </w:p>
    <w:p w14:paraId="6E96AAE1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n/r predsjednika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                                                                            g. Miljenko Marić </w:t>
      </w:r>
    </w:p>
    <w:p w14:paraId="25266E54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4E635844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543E1B0B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6DA055E0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</w:p>
    <w:p w14:paraId="3B0B6D42" w14:textId="0B1CB2C9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PREDMET: Prijedlog Programa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izgradnje komunalne infrastrukture na području Grada Trilja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  <w:t xml:space="preserve">                    za 2025. godinu</w:t>
      </w:r>
    </w:p>
    <w:p w14:paraId="406B529F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         </w:t>
      </w:r>
    </w:p>
    <w:p w14:paraId="704D68D6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                    </w:t>
      </w: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ab/>
        <w:t xml:space="preserve">        </w:t>
      </w:r>
    </w:p>
    <w:p w14:paraId="64BBDA18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</w:t>
      </w:r>
    </w:p>
    <w:p w14:paraId="15AAAA68" w14:textId="629A89E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Na temelju članka 47. Statuta Grada Trilja (Službeni glasnik Grada Trilja br. 03/09, 01/13, 02/18, 01/21, 05/23 i 09/23 ) i članka 28. Poslovnika Gradskog vijeća Grada Trilja („Službeni glasnik Grada Trilja“ br. 03/09,01/13 i 01/21) dostavlja se na razmatranje</w:t>
      </w: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bookmarkStart w:id="1" w:name="_Hlk128141632"/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Prijedlog Programa izgradnje komunalne infrastrukture na području Grada Trilja za 2025. godinu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. 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bookmarkEnd w:id="1"/>
    <w:p w14:paraId="4F580988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</w:t>
      </w:r>
    </w:p>
    <w:p w14:paraId="7F72979F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A2F9A35" w14:textId="63D13DC1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Izvjestitelj o Prijedlog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Programa izgradnje komunalne infrastrukture na području Grada Trilja za 2025. godinu bit će pročelnica 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Monika Domazet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 gradonačelnik Ivan Bugarin. </w:t>
      </w:r>
    </w:p>
    <w:p w14:paraId="3F3BCF60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748F73D5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3E5BAA0A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5D971E9E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</w:t>
      </w:r>
    </w:p>
    <w:p w14:paraId="097E7D33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GRADONAČELNIK</w:t>
      </w:r>
    </w:p>
    <w:p w14:paraId="5495D349" w14:textId="77777777" w:rsidR="000C24FC" w:rsidRPr="000C24FC" w:rsidRDefault="000C24FC" w:rsidP="000C24FC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Ivan Bugarin, dipl. </w:t>
      </w:r>
      <w:proofErr w:type="spellStart"/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ing.el</w:t>
      </w:r>
      <w:proofErr w:type="spellEnd"/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 v.r.</w:t>
      </w:r>
    </w:p>
    <w:p w14:paraId="6BDB9FD8" w14:textId="77777777" w:rsidR="000C24FC" w:rsidRPr="000C24FC" w:rsidRDefault="000C24FC" w:rsidP="00EC769C">
      <w:pPr>
        <w:jc w:val="both"/>
        <w:rPr>
          <w:rFonts w:ascii="Calibri" w:hAnsi="Calibri" w:cs="Calibri"/>
        </w:rPr>
      </w:pPr>
    </w:p>
    <w:p w14:paraId="27CDDED2" w14:textId="77777777" w:rsidR="000C24FC" w:rsidRDefault="000C24FC" w:rsidP="00EC769C">
      <w:pPr>
        <w:jc w:val="both"/>
      </w:pPr>
    </w:p>
    <w:p w14:paraId="6CEC86A7" w14:textId="77777777" w:rsidR="000C24FC" w:rsidRDefault="000C24FC" w:rsidP="00EC769C">
      <w:pPr>
        <w:jc w:val="both"/>
      </w:pPr>
    </w:p>
    <w:p w14:paraId="36753B03" w14:textId="77777777" w:rsidR="000C24FC" w:rsidRDefault="000C24FC" w:rsidP="00EC769C">
      <w:pPr>
        <w:jc w:val="both"/>
      </w:pPr>
    </w:p>
    <w:p w14:paraId="38A8B082" w14:textId="77777777" w:rsidR="000C24FC" w:rsidRDefault="000C24FC" w:rsidP="00EC769C">
      <w:pPr>
        <w:jc w:val="both"/>
      </w:pPr>
    </w:p>
    <w:p w14:paraId="18FF4CA7" w14:textId="77777777" w:rsidR="000C24FC" w:rsidRDefault="000C24FC" w:rsidP="00EC769C">
      <w:pPr>
        <w:jc w:val="both"/>
      </w:pPr>
    </w:p>
    <w:p w14:paraId="61E03061" w14:textId="77777777" w:rsidR="000C24FC" w:rsidRDefault="000C24FC" w:rsidP="00EC769C">
      <w:pPr>
        <w:jc w:val="both"/>
      </w:pPr>
    </w:p>
    <w:p w14:paraId="0C5E7F37" w14:textId="77777777" w:rsidR="000C24FC" w:rsidRDefault="000C24FC" w:rsidP="00EC769C">
      <w:pPr>
        <w:jc w:val="both"/>
      </w:pPr>
    </w:p>
    <w:p w14:paraId="4B62DC6C" w14:textId="77777777" w:rsidR="000C24FC" w:rsidRDefault="000C24FC" w:rsidP="00EC769C">
      <w:pPr>
        <w:jc w:val="both"/>
      </w:pPr>
    </w:p>
    <w:p w14:paraId="14B4CECF" w14:textId="77777777" w:rsidR="000C24FC" w:rsidRDefault="000C24FC" w:rsidP="00EC769C">
      <w:pPr>
        <w:jc w:val="both"/>
      </w:pPr>
    </w:p>
    <w:p w14:paraId="6D2C5ED1" w14:textId="65D9B402" w:rsidR="00EC769C" w:rsidRPr="00E420CF" w:rsidRDefault="00EC769C" w:rsidP="00EC769C">
      <w:pPr>
        <w:jc w:val="both"/>
        <w:rPr>
          <w:rFonts w:cstheme="minorHAnsi"/>
        </w:rPr>
      </w:pPr>
      <w:r>
        <w:lastRenderedPageBreak/>
        <w:tab/>
      </w:r>
      <w:r>
        <w:tab/>
      </w:r>
      <w:r w:rsidRPr="00E420CF">
        <w:rPr>
          <w:rFonts w:cstheme="minorHAnsi"/>
        </w:rPr>
        <w:t xml:space="preserve">Temeljem članka 67. stavka 1. </w:t>
      </w:r>
      <w:bookmarkStart w:id="2" w:name="_Hlk124755306"/>
      <w:r w:rsidRPr="00E420CF">
        <w:rPr>
          <w:rFonts w:cstheme="minorHAnsi"/>
        </w:rPr>
        <w:t>Zakona o komunalnom gospodarstvu („Narodne novine“ broj: 68/18, 110/18 i 32/20)</w:t>
      </w:r>
      <w:bookmarkEnd w:id="2"/>
      <w:r w:rsidRPr="00E420CF">
        <w:rPr>
          <w:rFonts w:cstheme="minorHAnsi"/>
        </w:rPr>
        <w:t xml:space="preserve"> i članka 32. Statuta Grada Trilja („Službeni glasnik Grada Trilja“ broj: 03/09, 01/13, 02/18</w:t>
      </w:r>
      <w:r w:rsidR="002F6215">
        <w:rPr>
          <w:rFonts w:cstheme="minorHAnsi"/>
        </w:rPr>
        <w:t xml:space="preserve">, </w:t>
      </w:r>
      <w:r w:rsidRPr="00E420CF">
        <w:rPr>
          <w:rFonts w:cstheme="minorHAnsi"/>
        </w:rPr>
        <w:t>01/21</w:t>
      </w:r>
      <w:r w:rsidR="00D54F38">
        <w:rPr>
          <w:rFonts w:cstheme="minorHAnsi"/>
        </w:rPr>
        <w:t xml:space="preserve">, </w:t>
      </w:r>
      <w:r w:rsidR="002F6215">
        <w:rPr>
          <w:rFonts w:cstheme="minorHAnsi"/>
        </w:rPr>
        <w:t>0</w:t>
      </w:r>
      <w:r w:rsidR="00D54F38">
        <w:rPr>
          <w:rFonts w:cstheme="minorHAnsi"/>
        </w:rPr>
        <w:t>5</w:t>
      </w:r>
      <w:r w:rsidR="002F6215">
        <w:rPr>
          <w:rFonts w:cstheme="minorHAnsi"/>
        </w:rPr>
        <w:t>/23</w:t>
      </w:r>
      <w:r w:rsidR="00D54F38">
        <w:rPr>
          <w:rFonts w:cstheme="minorHAnsi"/>
        </w:rPr>
        <w:t xml:space="preserve"> i 09/23</w:t>
      </w:r>
      <w:r w:rsidRPr="00E420CF">
        <w:rPr>
          <w:rFonts w:cstheme="minorHAnsi"/>
        </w:rPr>
        <w:t>), Gradsko vijeće Grada Trilja na ____. sjednici održanoj dana _________________202</w:t>
      </w:r>
      <w:r w:rsidR="00C1012F">
        <w:rPr>
          <w:rFonts w:cstheme="minorHAnsi"/>
        </w:rPr>
        <w:t>5</w:t>
      </w:r>
      <w:r w:rsidRPr="00E420CF">
        <w:rPr>
          <w:rFonts w:cstheme="minorHAnsi"/>
        </w:rPr>
        <w:t xml:space="preserve">. godine, donosi </w:t>
      </w:r>
    </w:p>
    <w:p w14:paraId="250A0FFC" w14:textId="77777777" w:rsidR="00EC769C" w:rsidRPr="00EC769C" w:rsidRDefault="00EC769C" w:rsidP="00EC769C">
      <w:pPr>
        <w:jc w:val="center"/>
        <w:rPr>
          <w:rFonts w:cstheme="minorHAnsi"/>
          <w:b/>
          <w:sz w:val="28"/>
          <w:szCs w:val="28"/>
        </w:rPr>
      </w:pPr>
    </w:p>
    <w:p w14:paraId="0E13FFD5" w14:textId="24CE7179" w:rsidR="00EC769C" w:rsidRPr="00EC769C" w:rsidRDefault="00DE7A81" w:rsidP="00EC769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PRIJEDLOG PROGRAMA</w:t>
      </w:r>
    </w:p>
    <w:p w14:paraId="304A3438" w14:textId="5C24DCF1" w:rsidR="00EC769C" w:rsidRPr="00EC769C" w:rsidRDefault="00EC769C" w:rsidP="00EC769C">
      <w:pPr>
        <w:jc w:val="center"/>
        <w:rPr>
          <w:rFonts w:cstheme="minorHAnsi"/>
          <w:b/>
          <w:sz w:val="28"/>
          <w:szCs w:val="28"/>
        </w:rPr>
      </w:pPr>
      <w:r w:rsidRPr="00EC769C">
        <w:rPr>
          <w:rFonts w:cstheme="minorHAnsi"/>
          <w:b/>
          <w:sz w:val="28"/>
          <w:szCs w:val="28"/>
        </w:rPr>
        <w:t>izgradnje komunalne infrastrukture</w:t>
      </w:r>
    </w:p>
    <w:p w14:paraId="29C217C5" w14:textId="1E280B0E" w:rsidR="00EC769C" w:rsidRPr="00EC769C" w:rsidRDefault="00EC769C" w:rsidP="00EC769C">
      <w:pPr>
        <w:jc w:val="center"/>
        <w:rPr>
          <w:rFonts w:cstheme="minorHAnsi"/>
          <w:b/>
          <w:sz w:val="28"/>
          <w:szCs w:val="28"/>
        </w:rPr>
      </w:pPr>
      <w:r w:rsidRPr="00EC769C">
        <w:rPr>
          <w:rFonts w:cstheme="minorHAnsi"/>
          <w:b/>
          <w:sz w:val="28"/>
          <w:szCs w:val="28"/>
        </w:rPr>
        <w:t>na području Grada Trilja za 202</w:t>
      </w:r>
      <w:r w:rsidR="00782A87">
        <w:rPr>
          <w:rFonts w:cstheme="minorHAnsi"/>
          <w:b/>
          <w:sz w:val="28"/>
          <w:szCs w:val="28"/>
        </w:rPr>
        <w:t>5</w:t>
      </w:r>
      <w:r w:rsidRPr="00EC769C">
        <w:rPr>
          <w:rFonts w:cstheme="minorHAnsi"/>
          <w:b/>
          <w:sz w:val="28"/>
          <w:szCs w:val="28"/>
        </w:rPr>
        <w:t>. godinu</w:t>
      </w:r>
    </w:p>
    <w:p w14:paraId="1616A8BA" w14:textId="77777777" w:rsidR="00EC769C" w:rsidRPr="00E420CF" w:rsidRDefault="00EC769C" w:rsidP="00EC769C">
      <w:pPr>
        <w:rPr>
          <w:rFonts w:cstheme="minorHAnsi"/>
        </w:rPr>
      </w:pPr>
    </w:p>
    <w:p w14:paraId="7E5397F8" w14:textId="77777777" w:rsidR="00EC769C" w:rsidRPr="00EC769C" w:rsidRDefault="00EC769C" w:rsidP="00EC769C">
      <w:pPr>
        <w:rPr>
          <w:rFonts w:cstheme="minorHAnsi"/>
          <w:sz w:val="24"/>
          <w:szCs w:val="24"/>
        </w:rPr>
      </w:pPr>
    </w:p>
    <w:p w14:paraId="67FA1255" w14:textId="77777777" w:rsidR="00EC769C" w:rsidRPr="00EC769C" w:rsidRDefault="00EC769C" w:rsidP="00EC769C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EC769C">
        <w:rPr>
          <w:rFonts w:cstheme="minorHAnsi"/>
          <w:b/>
          <w:sz w:val="24"/>
          <w:szCs w:val="24"/>
        </w:rPr>
        <w:t xml:space="preserve">OPĆE ODREDBE </w:t>
      </w:r>
    </w:p>
    <w:p w14:paraId="7F9E2FDA" w14:textId="77777777" w:rsidR="00EC769C" w:rsidRPr="00E420CF" w:rsidRDefault="00EC769C" w:rsidP="00EC769C">
      <w:pPr>
        <w:jc w:val="center"/>
        <w:rPr>
          <w:rFonts w:cstheme="minorHAnsi"/>
          <w:bCs/>
        </w:rPr>
      </w:pPr>
      <w:r w:rsidRPr="00E420CF">
        <w:rPr>
          <w:rFonts w:cstheme="minorHAnsi"/>
          <w:bCs/>
        </w:rPr>
        <w:t>Članak 1.</w:t>
      </w:r>
    </w:p>
    <w:p w14:paraId="0FB2E83B" w14:textId="77777777" w:rsidR="00EC769C" w:rsidRPr="00E420CF" w:rsidRDefault="00EC769C" w:rsidP="00EC769C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0CF">
        <w:rPr>
          <w:rFonts w:asciiTheme="minorHAnsi" w:hAnsiTheme="minorHAnsi" w:cstheme="minorHAnsi"/>
          <w:sz w:val="24"/>
          <w:szCs w:val="24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građenja.</w:t>
      </w:r>
    </w:p>
    <w:p w14:paraId="5D83DD53" w14:textId="77777777" w:rsidR="00EC769C" w:rsidRPr="00E420CF" w:rsidRDefault="00EC769C" w:rsidP="00EC769C">
      <w:pPr>
        <w:pStyle w:val="Odlomakpopisa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CE9458" w14:textId="77777777" w:rsidR="00EC769C" w:rsidRPr="00E420CF" w:rsidRDefault="00EC769C" w:rsidP="00EC769C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0CF">
        <w:rPr>
          <w:rFonts w:asciiTheme="minorHAnsi" w:hAnsiTheme="minorHAnsi" w:cstheme="minorHAnsi"/>
          <w:sz w:val="24"/>
          <w:szCs w:val="24"/>
        </w:rPr>
        <w:t>Ovim Programom, sukladno članku 68. Zakona o komunalnom gospodarstvu („Narodne novine“ broj: 68/18, 110/18 i 32/20) određuju se objekti i uređaji komunalne infrastrukture koji će se graditi na području Grada Trilja u 2024. godini</w:t>
      </w:r>
    </w:p>
    <w:p w14:paraId="5E1DA99E" w14:textId="77777777" w:rsidR="00EC769C" w:rsidRPr="00E420CF" w:rsidRDefault="00EC769C" w:rsidP="00EC769C">
      <w:pPr>
        <w:rPr>
          <w:rFonts w:cstheme="minorHAnsi"/>
        </w:rPr>
      </w:pPr>
    </w:p>
    <w:p w14:paraId="3300EE56" w14:textId="77777777" w:rsidR="00EC769C" w:rsidRPr="00E420CF" w:rsidRDefault="00EC769C" w:rsidP="00EC769C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0CF">
        <w:rPr>
          <w:rFonts w:asciiTheme="minorHAnsi" w:hAnsiTheme="minorHAnsi" w:cstheme="minorHAnsi"/>
          <w:sz w:val="24"/>
          <w:szCs w:val="24"/>
        </w:rPr>
        <w:t>Ovaj Program sadrži procjenu troškova građenja komunalne infrastrukture (troškovi projektiranja, revizije, građenja, provedbe stručnog nadzora građenja i provedbe vođenja projekta građenja) s naznakom izvora njihova financiranja.</w:t>
      </w:r>
    </w:p>
    <w:p w14:paraId="45C42E36" w14:textId="77777777" w:rsidR="00EC769C" w:rsidRDefault="00EC769C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B9AAC06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C04B176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2C8728E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1845FCD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136C6F2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00C7000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CCA2E13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4E613BC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AE935B0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5385DB9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D2269A7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E7990CC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7BAF50A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934F87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9B60657" w14:textId="77777777" w:rsidR="008313A8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AC34F3B" w14:textId="77777777" w:rsidR="008313A8" w:rsidRPr="00E420CF" w:rsidRDefault="008313A8" w:rsidP="00EC769C">
      <w:pPr>
        <w:pStyle w:val="Odlomakpopisa"/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22DA6B6" w14:textId="77777777" w:rsidR="00EC769C" w:rsidRPr="00EC769C" w:rsidRDefault="00EC769C" w:rsidP="00EC769C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C769C">
        <w:rPr>
          <w:rFonts w:asciiTheme="minorHAnsi" w:hAnsiTheme="minorHAnsi" w:cstheme="minorHAnsi"/>
          <w:b/>
          <w:bCs/>
          <w:sz w:val="28"/>
          <w:szCs w:val="28"/>
        </w:rPr>
        <w:t>GRAĐEVINE KOMUNALNE INFRASTRUKTURE</w:t>
      </w:r>
    </w:p>
    <w:p w14:paraId="3AD945D5" w14:textId="77777777" w:rsidR="00EC769C" w:rsidRDefault="00EC769C" w:rsidP="00EC769C">
      <w:pPr>
        <w:jc w:val="center"/>
        <w:rPr>
          <w:rFonts w:cstheme="minorHAnsi"/>
        </w:rPr>
      </w:pPr>
      <w:r w:rsidRPr="00E420CF">
        <w:rPr>
          <w:rFonts w:cstheme="minorHAnsi"/>
        </w:rPr>
        <w:t>Članak 2.</w:t>
      </w:r>
    </w:p>
    <w:p w14:paraId="6C4FEC9D" w14:textId="77777777" w:rsidR="008313A8" w:rsidRPr="00E420CF" w:rsidRDefault="008313A8" w:rsidP="00EC769C">
      <w:pPr>
        <w:jc w:val="center"/>
        <w:rPr>
          <w:rFonts w:cstheme="minorHAnsi"/>
        </w:rPr>
      </w:pPr>
    </w:p>
    <w:tbl>
      <w:tblPr>
        <w:tblW w:w="9412" w:type="dxa"/>
        <w:tblInd w:w="108" w:type="dxa"/>
        <w:tblLook w:val="04A0" w:firstRow="1" w:lastRow="0" w:firstColumn="1" w:lastColumn="0" w:noHBand="0" w:noVBand="1"/>
      </w:tblPr>
      <w:tblGrid>
        <w:gridCol w:w="4992"/>
        <w:gridCol w:w="111"/>
        <w:gridCol w:w="1137"/>
        <w:gridCol w:w="1744"/>
        <w:gridCol w:w="1428"/>
      </w:tblGrid>
      <w:tr w:rsidR="00EC769C" w:rsidRPr="00E420CF" w14:paraId="69208572" w14:textId="77777777" w:rsidTr="00EC769C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4154" w14:textId="77777777" w:rsidR="00EC769C" w:rsidRPr="00FC0CE0" w:rsidRDefault="00EC769C" w:rsidP="005A3738">
            <w:pPr>
              <w:rPr>
                <w:rFonts w:cstheme="minorHAnsi"/>
                <w:sz w:val="20"/>
                <w:szCs w:val="20"/>
              </w:rPr>
            </w:pPr>
            <w:r w:rsidRPr="00FC0CE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1B23" w14:textId="17FD7B16" w:rsidR="00EC769C" w:rsidRPr="007B0D90" w:rsidRDefault="00EC769C" w:rsidP="005A3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0D90">
              <w:rPr>
                <w:rFonts w:cstheme="minorHAnsi"/>
                <w:color w:val="000000"/>
                <w:sz w:val="20"/>
                <w:szCs w:val="20"/>
              </w:rPr>
              <w:t>Proračun 202</w:t>
            </w:r>
            <w:r w:rsidR="00782A87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7B0D9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0B0E" w14:textId="77777777" w:rsidR="00EC769C" w:rsidRPr="007B0D90" w:rsidRDefault="00EC769C" w:rsidP="00EC769C">
            <w:pPr>
              <w:spacing w:after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0D90">
              <w:rPr>
                <w:rFonts w:cstheme="minorHAnsi"/>
                <w:color w:val="000000"/>
                <w:sz w:val="20"/>
                <w:szCs w:val="20"/>
              </w:rPr>
              <w:t xml:space="preserve">Projekcija </w:t>
            </w:r>
          </w:p>
          <w:p w14:paraId="197E1603" w14:textId="1808273A" w:rsidR="0069750E" w:rsidRPr="007B0D90" w:rsidRDefault="00EC769C" w:rsidP="0069750E">
            <w:pPr>
              <w:spacing w:after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0D90">
              <w:rPr>
                <w:rFonts w:cstheme="minorHAnsi"/>
                <w:color w:val="000000"/>
                <w:sz w:val="20"/>
                <w:szCs w:val="20"/>
              </w:rPr>
              <w:t>202</w:t>
            </w:r>
            <w:r w:rsidR="00782A87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7B0D9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3427" w14:textId="54A8C528" w:rsidR="00EC769C" w:rsidRPr="007B0D90" w:rsidRDefault="00EC769C" w:rsidP="005A3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B0D90">
              <w:rPr>
                <w:rFonts w:cstheme="minorHAnsi"/>
                <w:color w:val="000000"/>
                <w:sz w:val="20"/>
                <w:szCs w:val="20"/>
              </w:rPr>
              <w:t>Projekcija 202</w:t>
            </w:r>
            <w:r w:rsidR="00782A87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7B0D9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C769C" w:rsidRPr="00E420CF" w14:paraId="15C48A89" w14:textId="77777777" w:rsidTr="005A3738">
        <w:trPr>
          <w:trHeight w:val="31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8FB" w14:textId="77777777" w:rsidR="00EC769C" w:rsidRPr="00EC769C" w:rsidRDefault="00EC769C" w:rsidP="005A3738">
            <w:pPr>
              <w:rPr>
                <w:rFonts w:cstheme="minorHAnsi"/>
                <w:b/>
                <w:bCs/>
                <w:color w:val="000000"/>
              </w:rPr>
            </w:pPr>
            <w:r w:rsidRPr="002F47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PROGRAM IZGRADNJE KOMUNALNE INFRASTRUKTURE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649C" w14:textId="119C6FE7" w:rsidR="00EC769C" w:rsidRPr="00EC769C" w:rsidRDefault="0069750E" w:rsidP="005A373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4.</w:t>
            </w:r>
            <w:r w:rsidR="007657F0">
              <w:rPr>
                <w:rFonts w:cstheme="minorHAnsi"/>
                <w:b/>
                <w:bCs/>
                <w:color w:val="000000"/>
              </w:rPr>
              <w:t>46</w:t>
            </w:r>
            <w:r>
              <w:rPr>
                <w:rFonts w:cstheme="minorHAnsi"/>
                <w:b/>
                <w:bCs/>
                <w:color w:val="000000"/>
              </w:rPr>
              <w:t>2.700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7CD4" w14:textId="424C6EC1" w:rsidR="00EC769C" w:rsidRPr="00EC769C" w:rsidRDefault="0069750E" w:rsidP="005A373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2.641</w:t>
            </w:r>
            <w:r w:rsidR="00EC769C" w:rsidRPr="00EC769C">
              <w:rPr>
                <w:rFonts w:cstheme="minorHAnsi"/>
                <w:b/>
                <w:bCs/>
                <w:color w:val="000000"/>
              </w:rPr>
              <w:t>.</w:t>
            </w:r>
            <w:r>
              <w:rPr>
                <w:rFonts w:cstheme="minorHAnsi"/>
                <w:b/>
                <w:bCs/>
                <w:color w:val="000000"/>
              </w:rPr>
              <w:t>0</w:t>
            </w:r>
            <w:r w:rsidR="00EC769C" w:rsidRPr="00EC769C">
              <w:rPr>
                <w:rFonts w:cstheme="minorHAnsi"/>
                <w:b/>
                <w:bCs/>
                <w:color w:val="00000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A7C8" w14:textId="0DCB19E2" w:rsidR="00EC769C" w:rsidRPr="00EC769C" w:rsidRDefault="0069750E" w:rsidP="005A373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1.641</w:t>
            </w:r>
            <w:r w:rsidR="00EC769C" w:rsidRPr="00EC769C">
              <w:rPr>
                <w:rFonts w:cstheme="minorHAnsi"/>
                <w:b/>
                <w:bCs/>
                <w:color w:val="000000"/>
              </w:rPr>
              <w:t>.000</w:t>
            </w:r>
          </w:p>
        </w:tc>
      </w:tr>
      <w:tr w:rsidR="00EC769C" w:rsidRPr="00E420CF" w14:paraId="1140E14D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C4F" w14:textId="77777777" w:rsidR="00EC769C" w:rsidRPr="00EC769C" w:rsidRDefault="00EC769C" w:rsidP="005A3738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D191" w14:textId="77777777" w:rsidR="00EC769C" w:rsidRPr="00EC769C" w:rsidRDefault="00EC769C" w:rsidP="005A3738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6A5C" w14:textId="77777777" w:rsidR="00EC769C" w:rsidRPr="00EC769C" w:rsidRDefault="00EC769C" w:rsidP="005A3738">
            <w:pPr>
              <w:jc w:val="center"/>
              <w:rPr>
                <w:rFonts w:cstheme="minorHAnsi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3E96" w14:textId="77777777" w:rsidR="00EC769C" w:rsidRPr="00EC769C" w:rsidRDefault="00EC769C" w:rsidP="0069750E">
            <w:pPr>
              <w:rPr>
                <w:rFonts w:cstheme="minorHAnsi"/>
              </w:rPr>
            </w:pPr>
          </w:p>
        </w:tc>
      </w:tr>
      <w:tr w:rsidR="00EC769C" w:rsidRPr="00E420CF" w14:paraId="40609C49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487" w14:textId="77777777" w:rsidR="00EC769C" w:rsidRPr="00EC769C" w:rsidRDefault="00EC769C" w:rsidP="005A3738">
            <w:pPr>
              <w:rPr>
                <w:rFonts w:cstheme="minorHAnsi"/>
                <w:b/>
                <w:bCs/>
                <w:color w:val="000000"/>
              </w:rPr>
            </w:pPr>
            <w:r w:rsidRPr="002F47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Izgradnja cestovne infrastrukture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271" w14:textId="7C8CA507" w:rsidR="00EC769C" w:rsidRPr="00FC0CE0" w:rsidRDefault="00A65462" w:rsidP="005A37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2B08A6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8</w:t>
            </w:r>
            <w:r w:rsidR="00EC769C" w:rsidRPr="00FC0CE0">
              <w:rPr>
                <w:rFonts w:cstheme="minorHAnsi"/>
                <w:b/>
                <w:bCs/>
              </w:rPr>
              <w:t>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0A1E" w14:textId="0037B404" w:rsidR="00EC769C" w:rsidRPr="00FC0CE0" w:rsidRDefault="00A65462" w:rsidP="005A37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</w:t>
            </w:r>
            <w:r w:rsidR="00EC769C" w:rsidRPr="00FC0CE0">
              <w:rPr>
                <w:rFonts w:cstheme="minorHAnsi"/>
                <w:b/>
                <w:bCs/>
              </w:rPr>
              <w:t>.000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09E0" w14:textId="79E09C05" w:rsidR="00EC769C" w:rsidRPr="00FC0CE0" w:rsidRDefault="00A65462" w:rsidP="005A37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201.000</w:t>
            </w:r>
          </w:p>
        </w:tc>
      </w:tr>
      <w:tr w:rsidR="00EC769C" w:rsidRPr="00E420CF" w14:paraId="46E1672D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4489" w14:textId="2A31C8DD" w:rsidR="00EC769C" w:rsidRPr="00EC769C" w:rsidRDefault="00EC769C" w:rsidP="005A3738">
            <w:pPr>
              <w:rPr>
                <w:rFonts w:cstheme="minorHAnsi"/>
                <w:color w:val="000000"/>
              </w:rPr>
            </w:pPr>
            <w:r w:rsidRPr="00EC769C">
              <w:rPr>
                <w:rFonts w:cstheme="minorHAnsi"/>
                <w:color w:val="000000"/>
              </w:rPr>
              <w:t xml:space="preserve">Rashodi </w:t>
            </w:r>
            <w:r w:rsidR="00A65462">
              <w:rPr>
                <w:rFonts w:cstheme="minorHAnsi"/>
                <w:color w:val="000000"/>
              </w:rPr>
              <w:t>poslovanja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D72" w14:textId="62F1AFBB" w:rsidR="00EC769C" w:rsidRPr="00EC769C" w:rsidRDefault="00EC769C" w:rsidP="005A3738">
            <w:pPr>
              <w:jc w:val="center"/>
              <w:rPr>
                <w:rFonts w:cstheme="minorHAnsi"/>
              </w:rPr>
            </w:pPr>
            <w:r w:rsidRPr="00EC769C">
              <w:rPr>
                <w:rFonts w:cstheme="minorHAnsi"/>
              </w:rPr>
              <w:t>1.000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18AB" w14:textId="3E262D26" w:rsidR="00EC769C" w:rsidRPr="00EC769C" w:rsidRDefault="00EC769C" w:rsidP="005A3738">
            <w:pPr>
              <w:jc w:val="center"/>
              <w:rPr>
                <w:rFonts w:cstheme="minorHAnsi"/>
              </w:rPr>
            </w:pPr>
            <w:r w:rsidRPr="00EC769C">
              <w:rPr>
                <w:rFonts w:cstheme="minorHAnsi"/>
              </w:rPr>
              <w:t>1.000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66E" w14:textId="330D606D" w:rsidR="00A65462" w:rsidRPr="00EC769C" w:rsidRDefault="00A65462" w:rsidP="00A65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</w:t>
            </w:r>
            <w:r w:rsidR="00EC769C" w:rsidRPr="00EC769C">
              <w:rPr>
                <w:rFonts w:cstheme="minorHAnsi"/>
              </w:rPr>
              <w:t>0</w:t>
            </w:r>
          </w:p>
        </w:tc>
      </w:tr>
      <w:tr w:rsidR="00EC769C" w:rsidRPr="00E420CF" w14:paraId="32ABAF88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128C" w14:textId="3617EFD0" w:rsidR="00EC769C" w:rsidRPr="00EC769C" w:rsidRDefault="00A65462" w:rsidP="005A37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Materijalni rashodi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F99" w14:textId="02B5A786" w:rsidR="00EC769C" w:rsidRPr="00EC769C" w:rsidRDefault="009E3562" w:rsidP="005A3738">
            <w:pPr>
              <w:jc w:val="center"/>
              <w:rPr>
                <w:rFonts w:cstheme="minorHAnsi"/>
              </w:rPr>
            </w:pPr>
            <w:r w:rsidRPr="00EC769C">
              <w:rPr>
                <w:rFonts w:cstheme="minorHAnsi"/>
              </w:rPr>
              <w:t>1.000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4926" w14:textId="29E9F375" w:rsidR="00EC769C" w:rsidRPr="00EC769C" w:rsidRDefault="009E3562" w:rsidP="005A3738">
            <w:pPr>
              <w:jc w:val="center"/>
              <w:rPr>
                <w:rFonts w:cstheme="minorHAnsi"/>
              </w:rPr>
            </w:pPr>
            <w:r w:rsidRPr="00EC769C">
              <w:rPr>
                <w:rFonts w:cstheme="minorHAnsi"/>
              </w:rPr>
              <w:t>1.000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051A" w14:textId="62BE498F" w:rsidR="00EC769C" w:rsidRPr="00EC769C" w:rsidRDefault="009E3562" w:rsidP="005A3738">
            <w:pPr>
              <w:jc w:val="center"/>
              <w:rPr>
                <w:rFonts w:cstheme="minorHAnsi"/>
              </w:rPr>
            </w:pPr>
            <w:r w:rsidRPr="00EC769C">
              <w:rPr>
                <w:rFonts w:cstheme="minorHAnsi"/>
              </w:rPr>
              <w:t>1.000</w:t>
            </w:r>
          </w:p>
        </w:tc>
      </w:tr>
      <w:tr w:rsidR="00EC769C" w:rsidRPr="00E420CF" w14:paraId="29E6D43A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BC42" w14:textId="682A8160" w:rsidR="00EC769C" w:rsidRPr="00EC769C" w:rsidRDefault="009E3562" w:rsidP="005A37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Opći prihodi i primici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3798" w14:textId="2F48F337" w:rsidR="00EC769C" w:rsidRPr="00EC769C" w:rsidRDefault="009E3562" w:rsidP="005A3738">
            <w:pPr>
              <w:jc w:val="center"/>
              <w:rPr>
                <w:rFonts w:cstheme="minorHAnsi"/>
              </w:rPr>
            </w:pPr>
            <w:r w:rsidRPr="00EC769C">
              <w:rPr>
                <w:rFonts w:cstheme="minorHAnsi"/>
              </w:rPr>
              <w:t>1.000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B9BB" w14:textId="5B85F49E" w:rsidR="00EC769C" w:rsidRPr="00EC769C" w:rsidRDefault="009E3562" w:rsidP="005A3738">
            <w:pPr>
              <w:jc w:val="center"/>
              <w:rPr>
                <w:rFonts w:cstheme="minorHAnsi"/>
              </w:rPr>
            </w:pPr>
            <w:r w:rsidRPr="00EC769C">
              <w:rPr>
                <w:rFonts w:cstheme="minorHAnsi"/>
              </w:rPr>
              <w:t>1.000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09FB" w14:textId="2FE0DE67" w:rsidR="00EC769C" w:rsidRPr="00EC769C" w:rsidRDefault="009E3562" w:rsidP="005A3738">
            <w:pPr>
              <w:jc w:val="center"/>
              <w:rPr>
                <w:rFonts w:cstheme="minorHAnsi"/>
              </w:rPr>
            </w:pPr>
            <w:r w:rsidRPr="00EC769C">
              <w:rPr>
                <w:rFonts w:cstheme="minorHAnsi"/>
              </w:rPr>
              <w:t>1.000</w:t>
            </w:r>
          </w:p>
        </w:tc>
      </w:tr>
      <w:tr w:rsidR="00FA39B3" w:rsidRPr="00E420CF" w14:paraId="5FC81B68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992CA" w14:textId="0FF3F89E" w:rsidR="00FA39B3" w:rsidRPr="00EC769C" w:rsidRDefault="009E3562" w:rsidP="005A37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Rashodi za nabavu nefinancijske imovine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120FC" w14:textId="5A54D6A4" w:rsidR="00FA39B3" w:rsidRPr="00EC769C" w:rsidRDefault="009E3562" w:rsidP="005A37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4C69EE">
              <w:rPr>
                <w:rFonts w:cstheme="minorHAnsi"/>
              </w:rPr>
              <w:t>2</w:t>
            </w:r>
            <w:r>
              <w:rPr>
                <w:rFonts w:cstheme="minorHAnsi"/>
              </w:rPr>
              <w:t>7.000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B0F9B" w14:textId="78ABF363" w:rsidR="00FA39B3" w:rsidRPr="00EC769C" w:rsidRDefault="009E3562" w:rsidP="005A37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7FA7" w14:textId="167B7B93" w:rsidR="009E3562" w:rsidRPr="00EC769C" w:rsidRDefault="009E3562" w:rsidP="009E35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200.000</w:t>
            </w:r>
          </w:p>
        </w:tc>
      </w:tr>
      <w:tr w:rsidR="00842D29" w:rsidRPr="00E420CF" w14:paraId="2BBED1B3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6F83" w14:textId="468FCA5A" w:rsidR="00842D29" w:rsidRDefault="00842D29" w:rsidP="00842D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Rashodi za nabavu proizvedene dugotrajne imovine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BE19C" w14:textId="3DC581D2" w:rsidR="00842D29" w:rsidRDefault="00842D29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4C69EE">
              <w:rPr>
                <w:rFonts w:cstheme="minorHAnsi"/>
              </w:rPr>
              <w:t>2</w:t>
            </w:r>
            <w:r>
              <w:rPr>
                <w:rFonts w:cstheme="minorHAnsi"/>
              </w:rPr>
              <w:t>7.000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B0299" w14:textId="554B6C97" w:rsidR="00842D29" w:rsidRDefault="00842D29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9B20" w14:textId="4991B08D" w:rsidR="00842D29" w:rsidRDefault="00842D29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200.000</w:t>
            </w:r>
          </w:p>
        </w:tc>
      </w:tr>
      <w:tr w:rsidR="00842D29" w:rsidRPr="00E420CF" w14:paraId="598F9838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A2B69" w14:textId="6EE8BDCC" w:rsidR="00842D29" w:rsidRDefault="00842D29" w:rsidP="00842D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Put </w:t>
            </w:r>
            <w:proofErr w:type="spellStart"/>
            <w:r>
              <w:rPr>
                <w:rFonts w:cstheme="minorHAnsi"/>
                <w:color w:val="000000"/>
              </w:rPr>
              <w:t>Klapeža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05042" w14:textId="72FDEB7A" w:rsidR="00842D29" w:rsidRDefault="00842D29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CA38" w14:textId="123FA2F5" w:rsidR="00842D29" w:rsidRDefault="00842D29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1A2CF" w14:textId="2E5B3964" w:rsidR="00842D29" w:rsidRDefault="00842D29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4C46" w:rsidRPr="00E420CF" w14:paraId="3A268FD8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12AC" w14:textId="3FD47F26" w:rsidR="007A4C46" w:rsidRDefault="007A4C46" w:rsidP="00842D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</w:t>
            </w:r>
            <w:proofErr w:type="spellStart"/>
            <w:r>
              <w:rPr>
                <w:rFonts w:cstheme="minorHAnsi"/>
                <w:color w:val="000000"/>
              </w:rPr>
              <w:t>Čačvina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046A" w14:textId="4F03197C" w:rsidR="007A4C46" w:rsidRDefault="00864B93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A4C46">
              <w:rPr>
                <w:rFonts w:cstheme="minorHAnsi"/>
              </w:rPr>
              <w:t>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40544" w14:textId="20FA939A" w:rsidR="007A4C46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D0BC" w14:textId="47FD40DA" w:rsidR="007A4C46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2D29" w:rsidRPr="00E420CF" w14:paraId="2BD32980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DCB82" w14:textId="7F6BA94D" w:rsidR="00842D29" w:rsidRDefault="007A4C46" w:rsidP="00842D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zaseok </w:t>
            </w:r>
            <w:proofErr w:type="spellStart"/>
            <w:r>
              <w:rPr>
                <w:rFonts w:cstheme="minorHAnsi"/>
                <w:color w:val="000000"/>
              </w:rPr>
              <w:t>Bulati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Bisko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02E9" w14:textId="68FA1099" w:rsidR="00842D29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D5F77" w14:textId="151D2B65" w:rsidR="00842D29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42243" w14:textId="1B167FCF" w:rsidR="00842D29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4C46" w:rsidRPr="00E420CF" w14:paraId="585CF137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9521" w14:textId="2941FF4E" w:rsidR="007A4C46" w:rsidRDefault="007A4C46" w:rsidP="00842D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Gačići, </w:t>
            </w:r>
            <w:proofErr w:type="spellStart"/>
            <w:r>
              <w:rPr>
                <w:rFonts w:cstheme="minorHAnsi"/>
                <w:color w:val="000000"/>
              </w:rPr>
              <w:t>Bisko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EEDA" w14:textId="70B6ACFC" w:rsidR="007A4C46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EF33" w14:textId="2B1737BC" w:rsidR="007A4C46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12E60" w14:textId="3BBB95F7" w:rsidR="007A4C46" w:rsidRDefault="007A4C46" w:rsidP="007A4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4C46" w:rsidRPr="00E420CF" w14:paraId="286D9B5A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42A6" w14:textId="4EA91288" w:rsidR="007A4C46" w:rsidRDefault="007A4C46" w:rsidP="00842D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</w:t>
            </w:r>
            <w:proofErr w:type="spellStart"/>
            <w:r>
              <w:rPr>
                <w:rFonts w:cstheme="minorHAnsi"/>
                <w:color w:val="000000"/>
              </w:rPr>
              <w:t>Džalo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Čaporice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2D3EB" w14:textId="2AD665F0" w:rsidR="007A4C46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95E4" w14:textId="7E117E20" w:rsidR="007A4C46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3C85" w14:textId="00209EF2" w:rsidR="007A4C46" w:rsidRDefault="007A4C46" w:rsidP="00842D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4C46" w:rsidRPr="00E420CF" w14:paraId="0F6E3E2D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98BD" w14:textId="622B26E3" w:rsidR="007A4C46" w:rsidRDefault="007A4C46" w:rsidP="007A4C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Klarići, </w:t>
            </w:r>
            <w:proofErr w:type="spellStart"/>
            <w:r>
              <w:rPr>
                <w:rFonts w:cstheme="minorHAnsi"/>
                <w:color w:val="000000"/>
              </w:rPr>
              <w:t>Čaporice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4B67" w14:textId="31296635" w:rsidR="007A4C46" w:rsidRDefault="007A4C46" w:rsidP="007A4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5F80" w14:textId="30AE1F35" w:rsidR="007A4C46" w:rsidRDefault="007A4C46" w:rsidP="007A4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6401" w14:textId="22EFF1B2" w:rsidR="007A4C46" w:rsidRDefault="007A4C46" w:rsidP="007A4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4C46" w:rsidRPr="00E420CF" w14:paraId="1DB13DED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1E88" w14:textId="07AEFC96" w:rsidR="007A4C46" w:rsidRDefault="007A4C46" w:rsidP="007A4C4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</w:t>
            </w:r>
            <w:r w:rsidR="008D57DD">
              <w:rPr>
                <w:rFonts w:cstheme="minorHAnsi"/>
                <w:color w:val="000000"/>
              </w:rPr>
              <w:t>Put Stećka, Trilj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0FF60" w14:textId="17E6326E" w:rsidR="007A4C46" w:rsidRDefault="00864B93" w:rsidP="007A4C46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8D57DD">
              <w:rPr>
                <w:rFonts w:cstheme="minorHAnsi"/>
              </w:rPr>
              <w:t>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1FA04" w14:textId="2330B06F" w:rsidR="007A4C46" w:rsidRDefault="008D57DD" w:rsidP="007A4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133E8" w14:textId="1DED6A11" w:rsidR="007A4C46" w:rsidRDefault="008D57DD" w:rsidP="007A4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57DD" w:rsidRPr="00E420CF" w14:paraId="370FA58C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EB8F" w14:textId="2899AC73" w:rsidR="008D57DD" w:rsidRDefault="008D57DD" w:rsidP="008D57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</w:t>
            </w:r>
            <w:proofErr w:type="spellStart"/>
            <w:r>
              <w:rPr>
                <w:rFonts w:cstheme="minorHAnsi"/>
                <w:color w:val="000000"/>
              </w:rPr>
              <w:t>Gilići</w:t>
            </w:r>
            <w:proofErr w:type="spellEnd"/>
            <w:r>
              <w:rPr>
                <w:rFonts w:cstheme="minorHAnsi"/>
                <w:color w:val="000000"/>
              </w:rPr>
              <w:t>, Grab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F9819" w14:textId="0976BD04" w:rsidR="008D57DD" w:rsidRDefault="008D57DD" w:rsidP="008D57DD">
            <w:pPr>
              <w:rPr>
                <w:rFonts w:cstheme="minorHAnsi"/>
              </w:rPr>
            </w:pPr>
            <w:r>
              <w:rPr>
                <w:rFonts w:cstheme="minorHAnsi"/>
              </w:rPr>
              <w:t>37.000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FE68" w14:textId="2B3DE539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910D" w14:textId="008F79FA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57DD" w:rsidRPr="00E420CF" w14:paraId="17341284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71B36" w14:textId="4ADA0EF1" w:rsidR="008D57DD" w:rsidRDefault="008D57DD" w:rsidP="008D57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Rashodi za nabavu proizvedene dugotrajne imovine – Kalina-</w:t>
            </w:r>
            <w:proofErr w:type="spellStart"/>
            <w:r>
              <w:rPr>
                <w:rFonts w:cstheme="minorHAnsi"/>
                <w:color w:val="000000"/>
              </w:rPr>
              <w:t>Mateljani</w:t>
            </w:r>
            <w:proofErr w:type="spellEnd"/>
            <w:r>
              <w:rPr>
                <w:rFonts w:cstheme="minorHAnsi"/>
                <w:color w:val="000000"/>
              </w:rPr>
              <w:t>, Košute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D6DC" w14:textId="359C58FE" w:rsidR="008D57DD" w:rsidRDefault="008D57DD" w:rsidP="008D57DD">
            <w:pPr>
              <w:rPr>
                <w:rFonts w:cstheme="minorHAnsi"/>
              </w:rPr>
            </w:pPr>
            <w:r>
              <w:rPr>
                <w:rFonts w:cstheme="minorHAnsi"/>
              </w:rPr>
              <w:t>100.000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E9383" w14:textId="4A0EE5A2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B70C" w14:textId="388C5E21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57DD" w:rsidRPr="00E420CF" w14:paraId="7688B7DE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49E82" w14:textId="342843F5" w:rsidR="008D57DD" w:rsidRDefault="008D57DD" w:rsidP="008D57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Rashodi za nabavu proizvedene dugotrajne imovine – Krnjače, Košute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1B406" w14:textId="322B5EA2" w:rsidR="008D57DD" w:rsidRDefault="008D57DD" w:rsidP="008D57DD">
            <w:pPr>
              <w:rPr>
                <w:rFonts w:cstheme="minorHAnsi"/>
              </w:rPr>
            </w:pPr>
            <w:r>
              <w:rPr>
                <w:rFonts w:cstheme="minorHAnsi"/>
              </w:rPr>
              <w:t>75.000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41901" w14:textId="44DA3B60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01880" w14:textId="0324B981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57DD" w:rsidRPr="00E420CF" w14:paraId="1987B374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48546" w14:textId="5A7F0131" w:rsidR="008D57DD" w:rsidRPr="00EC769C" w:rsidRDefault="008D57DD" w:rsidP="008D57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Rashodi za nabavu proizvedene dugotrajne imovine – Krolo, Kamensko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CA70" w14:textId="4E47B022" w:rsidR="008D57DD" w:rsidRPr="00EC769C" w:rsidRDefault="00864B93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D57DD">
              <w:rPr>
                <w:rFonts w:cstheme="minorHAnsi"/>
              </w:rPr>
              <w:t>5.000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F5D6" w14:textId="6CC665D7" w:rsidR="008D57DD" w:rsidRPr="00EC769C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F1A10" w14:textId="123DEA6F" w:rsidR="008D57DD" w:rsidRPr="00EC769C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57DD" w:rsidRPr="00E420CF" w14:paraId="7702D770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5AF59" w14:textId="5E4EBAB6" w:rsidR="008D57DD" w:rsidRDefault="008D57DD" w:rsidP="008D57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Rashodi za nabavu proizvedene dugotrajne imovine – Čovići, Stari most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4B5E8" w14:textId="51619992" w:rsidR="008D57DD" w:rsidRDefault="00864B93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D57DD">
              <w:rPr>
                <w:rFonts w:cstheme="minorHAnsi"/>
              </w:rPr>
              <w:t>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778C" w14:textId="165A771D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E0FD9" w14:textId="27983FAB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57DD" w:rsidRPr="00E420CF" w14:paraId="21E83117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1CBDC" w14:textId="687BC041" w:rsidR="008D57DD" w:rsidRDefault="008D57DD" w:rsidP="008D57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Rashodi za nabavu proizvedene dugotrajne imovine – Pavići i Babići, Ugljane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6829A" w14:textId="0E64E308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12F5" w14:textId="4F6674AF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FFA5" w14:textId="2897420E" w:rsidR="008D57DD" w:rsidRDefault="008D57DD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57DD" w:rsidRPr="00E420CF" w14:paraId="168335E9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56C1C" w14:textId="5066C311" w:rsidR="008D57DD" w:rsidRDefault="00D67FB5" w:rsidP="008D57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Rashodi za nabavu proizvedene dugotrajne imovine – </w:t>
            </w:r>
            <w:proofErr w:type="spellStart"/>
            <w:r>
              <w:rPr>
                <w:rFonts w:cstheme="minorHAnsi"/>
                <w:color w:val="000000"/>
              </w:rPr>
              <w:t>Omrčeni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Tijarica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12E3D" w14:textId="16904D8A" w:rsidR="008D57DD" w:rsidRDefault="00D67FB5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79941" w14:textId="38FB725D" w:rsidR="008D57DD" w:rsidRDefault="00D67FB5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03D8" w14:textId="215F1B5A" w:rsidR="008D57DD" w:rsidRDefault="00D67FB5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57DD" w:rsidRPr="00E420CF" w14:paraId="7E222A7C" w14:textId="77777777" w:rsidTr="005A373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4522" w14:textId="10752652" w:rsidR="008D57DD" w:rsidRDefault="00D67FB5" w:rsidP="008D57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Rashodi za nabavu proizvedene dugotrajne imovine – Put Vukasa, Vedrine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CD363" w14:textId="4BD04F15" w:rsidR="008D57DD" w:rsidRDefault="00D67FB5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52FC" w14:textId="1176BC96" w:rsidR="008D57DD" w:rsidRDefault="00D67FB5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F56D8" w14:textId="613C209D" w:rsidR="008D57DD" w:rsidRDefault="008D57DD" w:rsidP="008D57DD">
            <w:pPr>
              <w:jc w:val="center"/>
              <w:rPr>
                <w:rFonts w:cstheme="minorHAnsi"/>
              </w:rPr>
            </w:pPr>
          </w:p>
          <w:p w14:paraId="6C4A6C1B" w14:textId="5ABC1421" w:rsidR="007957A1" w:rsidRDefault="007957A1" w:rsidP="008D5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4B93" w:rsidRPr="00E420CF" w14:paraId="7423A7F1" w14:textId="77777777" w:rsidTr="00AB1E0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14F0" w14:textId="7E40C428" w:rsidR="00864B93" w:rsidRPr="00A05E28" w:rsidRDefault="00864B93" w:rsidP="00864B93">
            <w:r>
              <w:rPr>
                <w:rFonts w:cstheme="minorHAnsi"/>
                <w:color w:val="000000"/>
              </w:rPr>
              <w:t>Rashodi za nabavu proizvedene dugotrajne imovine – cesta oko groblja Velić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E9DE" w14:textId="71A178D6" w:rsidR="00864B93" w:rsidRDefault="00864B93" w:rsidP="00864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C9B5" w14:textId="4FA0E52E" w:rsidR="00864B93" w:rsidRDefault="00864B93" w:rsidP="00864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05F4" w14:textId="77777777" w:rsidR="00864B93" w:rsidRDefault="00864B93" w:rsidP="00864B93">
            <w:pPr>
              <w:jc w:val="center"/>
              <w:rPr>
                <w:rFonts w:cstheme="minorHAnsi"/>
              </w:rPr>
            </w:pPr>
          </w:p>
          <w:p w14:paraId="350DF959" w14:textId="0C423F3B" w:rsidR="00864B93" w:rsidRDefault="00864B93" w:rsidP="00864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4B93" w:rsidRPr="00E420CF" w14:paraId="6D1F5540" w14:textId="77777777" w:rsidTr="00AB1E08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32F16" w14:textId="4E7B09A0" w:rsidR="00864B93" w:rsidRDefault="00864B93" w:rsidP="00864B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Rashodi za nabavu proizvedene dugotrajne imovine – Put od farme Galić do Bakića mosta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1191" w14:textId="45DC6CDC" w:rsidR="00864B93" w:rsidRDefault="005053B1" w:rsidP="00864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64B93">
              <w:rPr>
                <w:rFonts w:cstheme="minorHAnsi"/>
              </w:rPr>
              <w:t>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D8D2" w14:textId="78F49641" w:rsidR="00864B93" w:rsidRDefault="00864B93" w:rsidP="00864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528B5" w14:textId="77777777" w:rsidR="00864B93" w:rsidRDefault="00864B93" w:rsidP="00864B93">
            <w:pPr>
              <w:jc w:val="center"/>
              <w:rPr>
                <w:rFonts w:cstheme="minorHAnsi"/>
              </w:rPr>
            </w:pPr>
          </w:p>
          <w:p w14:paraId="04F2AE8F" w14:textId="44679393" w:rsidR="00864B93" w:rsidRDefault="00864B93" w:rsidP="00864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1FD8" w:rsidRPr="00E420CF" w14:paraId="71A0CA0A" w14:textId="77777777" w:rsidTr="006470DE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95C0B" w14:textId="7BF8431F" w:rsidR="001E1FD8" w:rsidRDefault="001E1FD8" w:rsidP="001E1FD8">
            <w:pPr>
              <w:rPr>
                <w:rFonts w:cstheme="minorHAnsi"/>
                <w:color w:val="000000"/>
              </w:rPr>
            </w:pPr>
            <w:r>
              <w:t>Opći prihodi i primici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CF2F5" w14:textId="5E226842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15622" w14:textId="5B8DB899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20182" w14:textId="66EFBAD8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1FD8" w:rsidRPr="00E420CF" w14:paraId="5798A805" w14:textId="77777777" w:rsidTr="00F50C90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E9E84" w14:textId="27541F29" w:rsidR="001E1FD8" w:rsidRDefault="001E1FD8" w:rsidP="001E1FD8">
            <w:pPr>
              <w:rPr>
                <w:rFonts w:cstheme="minorHAnsi"/>
                <w:color w:val="000000"/>
              </w:rPr>
            </w:pPr>
            <w:r w:rsidRPr="00A05E28">
              <w:t>Prihodi za posebne namjene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42469" w14:textId="7183431D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5D705" w14:textId="53B2A638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68C7F" w14:textId="079FA7C3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1FD8" w:rsidRPr="00E420CF" w14:paraId="4E7C9E93" w14:textId="77777777" w:rsidTr="00F50C90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56E16" w14:textId="20C6BF58" w:rsidR="001E1FD8" w:rsidRPr="00A05E28" w:rsidRDefault="001E1FD8" w:rsidP="001E1FD8">
            <w:r>
              <w:t>Komunalni doprinos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D21AD" w14:textId="3ED72244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1C1F7" w14:textId="29A0A193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AEB95" w14:textId="3B46CBB5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50.000</w:t>
            </w:r>
          </w:p>
        </w:tc>
      </w:tr>
      <w:tr w:rsidR="001E1FD8" w:rsidRPr="00E420CF" w14:paraId="70EE645C" w14:textId="77777777" w:rsidTr="005840DB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CC850" w14:textId="11A6DEB2" w:rsidR="001E1FD8" w:rsidRPr="00A05E28" w:rsidRDefault="001E1FD8" w:rsidP="001E1FD8">
            <w:r>
              <w:t>Pomoći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D7563" w14:textId="4B3D426F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D2603" w14:textId="082A805B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150.000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83322" w14:textId="618AE957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150.000</w:t>
            </w:r>
          </w:p>
        </w:tc>
      </w:tr>
      <w:tr w:rsidR="001E1FD8" w:rsidRPr="00E420CF" w14:paraId="066EE8E7" w14:textId="77777777" w:rsidTr="005840DB">
        <w:trPr>
          <w:trHeight w:val="31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2C75B" w14:textId="246582F7" w:rsidR="001E1FD8" w:rsidRDefault="001E1FD8" w:rsidP="001E1FD8">
            <w:r>
              <w:t xml:space="preserve">Prihodi od prodaje </w:t>
            </w:r>
            <w:proofErr w:type="spellStart"/>
            <w:r>
              <w:t>neproizvedene</w:t>
            </w:r>
            <w:proofErr w:type="spellEnd"/>
            <w:r>
              <w:t xml:space="preserve"> dugotrajne imovine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6B265" w14:textId="1404B710" w:rsidR="001E1FD8" w:rsidRDefault="001E1FD8" w:rsidP="001E1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270.000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69959" w14:textId="301E96E9" w:rsidR="001E1FD8" w:rsidRDefault="001E1FD8" w:rsidP="001E1F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597D6" w14:textId="4E582D2B" w:rsidR="001E1FD8" w:rsidRDefault="001E1FD8" w:rsidP="001E1F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0</w:t>
            </w:r>
          </w:p>
        </w:tc>
      </w:tr>
    </w:tbl>
    <w:p w14:paraId="17687A15" w14:textId="4867823A" w:rsidR="00EC769C" w:rsidRPr="00D37133" w:rsidRDefault="00EC769C" w:rsidP="00EC769C">
      <w:pPr>
        <w:rPr>
          <w:rFonts w:cstheme="minorHAnsi"/>
          <w:b/>
          <w:bCs/>
        </w:rPr>
      </w:pPr>
      <w:r w:rsidRPr="00B515F1">
        <w:rPr>
          <w:rFonts w:cstheme="minorHAnsi"/>
          <w:b/>
          <w:bCs/>
        </w:rPr>
        <w:t>Kroz ovaj program planira se asfaltiranje i izgradnja pratećih sadržaja na neuređenim nerazvrstanim cestama na području Grada Trilja te presvlačenje dotrajalog asfaltnog sloja na nerazvrstanim cestama na kojima je to potrebno učiniti.</w:t>
      </w:r>
      <w:r w:rsidR="00461740" w:rsidRPr="00B515F1">
        <w:rPr>
          <w:rFonts w:cstheme="minorHAnsi"/>
          <w:b/>
          <w:bCs/>
        </w:rPr>
        <w:t xml:space="preserve"> </w:t>
      </w:r>
      <w:r w:rsidR="00B515F1">
        <w:rPr>
          <w:rFonts w:cstheme="minorHAnsi"/>
          <w:b/>
          <w:bCs/>
        </w:rPr>
        <w:t>Kroz program su predviđen</w:t>
      </w:r>
      <w:r w:rsidR="00D37133">
        <w:rPr>
          <w:rFonts w:cstheme="minorHAnsi"/>
          <w:b/>
          <w:bCs/>
        </w:rPr>
        <w:t xml:space="preserve">i radovi na dionicama: </w:t>
      </w:r>
      <w:r w:rsidR="00461740">
        <w:rPr>
          <w:rFonts w:cstheme="minorHAnsi"/>
          <w:color w:val="000000"/>
        </w:rPr>
        <w:t xml:space="preserve">Put </w:t>
      </w:r>
      <w:proofErr w:type="spellStart"/>
      <w:r w:rsidR="00461740">
        <w:rPr>
          <w:rFonts w:cstheme="minorHAnsi"/>
          <w:color w:val="000000"/>
        </w:rPr>
        <w:t>Klapeža</w:t>
      </w:r>
      <w:proofErr w:type="spellEnd"/>
      <w:r w:rsidR="00461740">
        <w:rPr>
          <w:rFonts w:cstheme="minorHAnsi"/>
          <w:color w:val="000000"/>
        </w:rPr>
        <w:t xml:space="preserve">, </w:t>
      </w:r>
      <w:proofErr w:type="spellStart"/>
      <w:r w:rsidR="00872DB9">
        <w:rPr>
          <w:rFonts w:cstheme="minorHAnsi"/>
          <w:color w:val="000000"/>
        </w:rPr>
        <w:t>Čačvina</w:t>
      </w:r>
      <w:proofErr w:type="spellEnd"/>
      <w:r w:rsidR="00872DB9">
        <w:rPr>
          <w:rFonts w:cstheme="minorHAnsi"/>
          <w:color w:val="000000"/>
        </w:rPr>
        <w:t xml:space="preserve">, zaseok </w:t>
      </w:r>
      <w:proofErr w:type="spellStart"/>
      <w:r w:rsidR="00872DB9">
        <w:rPr>
          <w:rFonts w:cstheme="minorHAnsi"/>
          <w:color w:val="000000"/>
        </w:rPr>
        <w:t>Bulati</w:t>
      </w:r>
      <w:proofErr w:type="spellEnd"/>
      <w:r w:rsidR="00872DB9">
        <w:rPr>
          <w:rFonts w:cstheme="minorHAnsi"/>
          <w:color w:val="000000"/>
        </w:rPr>
        <w:t xml:space="preserve"> (</w:t>
      </w:r>
      <w:proofErr w:type="spellStart"/>
      <w:r w:rsidR="00872DB9">
        <w:rPr>
          <w:rFonts w:cstheme="minorHAnsi"/>
          <w:color w:val="000000"/>
        </w:rPr>
        <w:t>Bisko</w:t>
      </w:r>
      <w:proofErr w:type="spellEnd"/>
      <w:r w:rsidR="00872DB9">
        <w:rPr>
          <w:rFonts w:cstheme="minorHAnsi"/>
          <w:color w:val="000000"/>
        </w:rPr>
        <w:t xml:space="preserve">), </w:t>
      </w:r>
      <w:proofErr w:type="spellStart"/>
      <w:r w:rsidR="00872DB9">
        <w:rPr>
          <w:rFonts w:cstheme="minorHAnsi"/>
          <w:color w:val="000000"/>
        </w:rPr>
        <w:t>Džalo</w:t>
      </w:r>
      <w:proofErr w:type="spellEnd"/>
      <w:r w:rsidR="00B515F1">
        <w:rPr>
          <w:rFonts w:cstheme="minorHAnsi"/>
          <w:color w:val="000000"/>
        </w:rPr>
        <w:t xml:space="preserve"> (</w:t>
      </w:r>
      <w:proofErr w:type="spellStart"/>
      <w:r w:rsidR="00872DB9">
        <w:rPr>
          <w:rFonts w:cstheme="minorHAnsi"/>
          <w:color w:val="000000"/>
        </w:rPr>
        <w:t>Čaporice</w:t>
      </w:r>
      <w:proofErr w:type="spellEnd"/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>, Klarići</w:t>
      </w:r>
      <w:r w:rsidR="00B515F1">
        <w:rPr>
          <w:rFonts w:cstheme="minorHAnsi"/>
          <w:color w:val="000000"/>
        </w:rPr>
        <w:t xml:space="preserve"> (</w:t>
      </w:r>
      <w:proofErr w:type="spellStart"/>
      <w:r w:rsidR="00872DB9">
        <w:rPr>
          <w:rFonts w:cstheme="minorHAnsi"/>
          <w:color w:val="000000"/>
        </w:rPr>
        <w:t>Čaporice</w:t>
      </w:r>
      <w:proofErr w:type="spellEnd"/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>, Put Stećka</w:t>
      </w:r>
      <w:r w:rsidR="00B515F1">
        <w:rPr>
          <w:rFonts w:cstheme="minorHAnsi"/>
          <w:color w:val="000000"/>
        </w:rPr>
        <w:t xml:space="preserve"> (</w:t>
      </w:r>
      <w:r w:rsidR="00872DB9">
        <w:rPr>
          <w:rFonts w:cstheme="minorHAnsi"/>
          <w:color w:val="000000"/>
        </w:rPr>
        <w:t>Trilj</w:t>
      </w:r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 xml:space="preserve">, </w:t>
      </w:r>
      <w:proofErr w:type="spellStart"/>
      <w:r w:rsidR="00872DB9">
        <w:rPr>
          <w:rFonts w:cstheme="minorHAnsi"/>
          <w:color w:val="000000"/>
        </w:rPr>
        <w:t>Gilići</w:t>
      </w:r>
      <w:proofErr w:type="spellEnd"/>
      <w:r w:rsidR="00B515F1">
        <w:rPr>
          <w:rFonts w:cstheme="minorHAnsi"/>
          <w:color w:val="000000"/>
        </w:rPr>
        <w:t xml:space="preserve"> (</w:t>
      </w:r>
      <w:r w:rsidR="00872DB9">
        <w:rPr>
          <w:rFonts w:cstheme="minorHAnsi"/>
          <w:color w:val="000000"/>
        </w:rPr>
        <w:t>Grab</w:t>
      </w:r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>, Kalina-</w:t>
      </w:r>
      <w:proofErr w:type="spellStart"/>
      <w:r w:rsidR="00872DB9">
        <w:rPr>
          <w:rFonts w:cstheme="minorHAnsi"/>
          <w:color w:val="000000"/>
        </w:rPr>
        <w:t>Mateljani</w:t>
      </w:r>
      <w:proofErr w:type="spellEnd"/>
      <w:r w:rsidR="00B515F1">
        <w:rPr>
          <w:rFonts w:cstheme="minorHAnsi"/>
          <w:color w:val="000000"/>
        </w:rPr>
        <w:t xml:space="preserve"> (</w:t>
      </w:r>
      <w:r w:rsidR="00872DB9">
        <w:rPr>
          <w:rFonts w:cstheme="minorHAnsi"/>
          <w:color w:val="000000"/>
        </w:rPr>
        <w:t>Košute</w:t>
      </w:r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>, Krnjače</w:t>
      </w:r>
      <w:r w:rsidR="00B515F1">
        <w:rPr>
          <w:rFonts w:cstheme="minorHAnsi"/>
          <w:color w:val="000000"/>
        </w:rPr>
        <w:t xml:space="preserve"> (</w:t>
      </w:r>
      <w:r w:rsidR="00872DB9">
        <w:rPr>
          <w:rFonts w:cstheme="minorHAnsi"/>
          <w:color w:val="000000"/>
        </w:rPr>
        <w:t>Košute</w:t>
      </w:r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>, Krolo</w:t>
      </w:r>
      <w:r w:rsidR="00B515F1">
        <w:rPr>
          <w:rFonts w:cstheme="minorHAnsi"/>
          <w:color w:val="000000"/>
        </w:rPr>
        <w:t xml:space="preserve"> (</w:t>
      </w:r>
      <w:r w:rsidR="00872DB9">
        <w:rPr>
          <w:rFonts w:cstheme="minorHAnsi"/>
          <w:color w:val="000000"/>
        </w:rPr>
        <w:t>Kamensko</w:t>
      </w:r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>, Čovići, Stari most, Pavići i Babići</w:t>
      </w:r>
      <w:r w:rsidR="00B515F1">
        <w:rPr>
          <w:rFonts w:cstheme="minorHAnsi"/>
          <w:color w:val="000000"/>
        </w:rPr>
        <w:t xml:space="preserve"> (</w:t>
      </w:r>
      <w:r w:rsidR="00872DB9">
        <w:rPr>
          <w:rFonts w:cstheme="minorHAnsi"/>
          <w:color w:val="000000"/>
        </w:rPr>
        <w:t>Ugljane</w:t>
      </w:r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 xml:space="preserve">, </w:t>
      </w:r>
      <w:proofErr w:type="spellStart"/>
      <w:r w:rsidR="00872DB9">
        <w:rPr>
          <w:rFonts w:cstheme="minorHAnsi"/>
          <w:color w:val="000000"/>
        </w:rPr>
        <w:t>Omrčeni</w:t>
      </w:r>
      <w:proofErr w:type="spellEnd"/>
      <w:r w:rsidR="00B515F1">
        <w:rPr>
          <w:rFonts w:cstheme="minorHAnsi"/>
          <w:color w:val="000000"/>
        </w:rPr>
        <w:t xml:space="preserve"> (</w:t>
      </w:r>
      <w:proofErr w:type="spellStart"/>
      <w:r w:rsidR="00872DB9">
        <w:rPr>
          <w:rFonts w:cstheme="minorHAnsi"/>
          <w:color w:val="000000"/>
        </w:rPr>
        <w:t>Tijarica</w:t>
      </w:r>
      <w:proofErr w:type="spellEnd"/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>, Put Vukasa</w:t>
      </w:r>
      <w:r w:rsidR="00B515F1">
        <w:rPr>
          <w:rFonts w:cstheme="minorHAnsi"/>
          <w:color w:val="000000"/>
        </w:rPr>
        <w:t xml:space="preserve"> (</w:t>
      </w:r>
      <w:r w:rsidR="00872DB9">
        <w:rPr>
          <w:rFonts w:cstheme="minorHAnsi"/>
          <w:color w:val="000000"/>
        </w:rPr>
        <w:t>Vedrine</w:t>
      </w:r>
      <w:r w:rsidR="00B515F1">
        <w:rPr>
          <w:rFonts w:cstheme="minorHAnsi"/>
          <w:color w:val="000000"/>
        </w:rPr>
        <w:t>)</w:t>
      </w:r>
      <w:r w:rsidR="00872DB9">
        <w:rPr>
          <w:rFonts w:cstheme="minorHAnsi"/>
          <w:color w:val="000000"/>
        </w:rPr>
        <w:t>.</w:t>
      </w:r>
    </w:p>
    <w:p w14:paraId="61171CA6" w14:textId="58B80EE6" w:rsidR="00F03D5E" w:rsidRPr="007B0D90" w:rsidRDefault="00F03D5E" w:rsidP="008313A8">
      <w:pPr>
        <w:rPr>
          <w:sz w:val="20"/>
          <w:szCs w:val="20"/>
        </w:rPr>
      </w:pPr>
      <w:r>
        <w:tab/>
      </w:r>
      <w:r w:rsidR="005053B1">
        <w:tab/>
      </w:r>
      <w:r w:rsidR="005053B1">
        <w:tab/>
      </w:r>
      <w:r w:rsidR="005053B1">
        <w:tab/>
      </w:r>
      <w:r w:rsidR="005053B1">
        <w:tab/>
      </w:r>
      <w:r w:rsidR="005053B1">
        <w:tab/>
      </w:r>
      <w:r w:rsidRPr="007B0D90">
        <w:rPr>
          <w:sz w:val="20"/>
          <w:szCs w:val="20"/>
        </w:rPr>
        <w:t>Proračun 202</w:t>
      </w:r>
      <w:r w:rsidR="00D37133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D37133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D37133"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660A7B28" w14:textId="3BE5B5E5" w:rsidR="00FC0CE0" w:rsidRDefault="00FC0CE0" w:rsidP="00FC0CE0">
      <w:r w:rsidRPr="00FC0CE0">
        <w:rPr>
          <w:b/>
          <w:bCs/>
          <w:sz w:val="24"/>
          <w:szCs w:val="24"/>
        </w:rPr>
        <w:t>Izgradnja nogostupa Gaz - Gubavica</w:t>
      </w:r>
      <w:r w:rsidRPr="00FC0CE0">
        <w:rPr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 w:rsidR="00D37133">
        <w:t>5</w:t>
      </w:r>
      <w:r>
        <w:t>0.000</w:t>
      </w:r>
      <w:r w:rsidR="00D37133">
        <w:tab/>
      </w:r>
      <w:r>
        <w:tab/>
        <w:t>0</w:t>
      </w:r>
      <w:r>
        <w:tab/>
      </w:r>
      <w:r>
        <w:tab/>
        <w:t>0</w:t>
      </w:r>
    </w:p>
    <w:p w14:paraId="3B23A44B" w14:textId="65E2AD65" w:rsidR="00FC0CE0" w:rsidRDefault="00FC0CE0" w:rsidP="00FC0CE0">
      <w:r>
        <w:t>Rashodi za nabavu nefinancijske imovine</w:t>
      </w:r>
      <w:r>
        <w:tab/>
      </w:r>
      <w:r>
        <w:tab/>
      </w:r>
      <w:r>
        <w:tab/>
      </w:r>
      <w:r w:rsidR="00D37133">
        <w:t>5</w:t>
      </w:r>
      <w:r>
        <w:t>0.000</w:t>
      </w:r>
      <w:r w:rsidR="00D37133">
        <w:tab/>
      </w:r>
      <w:r>
        <w:tab/>
        <w:t>0</w:t>
      </w:r>
      <w:r>
        <w:tab/>
      </w:r>
      <w:r>
        <w:tab/>
        <w:t>0</w:t>
      </w:r>
    </w:p>
    <w:p w14:paraId="6162A743" w14:textId="66FEFAD7" w:rsidR="00FC0CE0" w:rsidRDefault="00D54F38" w:rsidP="00FC0CE0">
      <w:r>
        <w:t>Rashodi za nabavu proizvedene dugotrajne imovine</w:t>
      </w:r>
      <w:r w:rsidR="00FC0CE0">
        <w:tab/>
      </w:r>
      <w:r w:rsidR="00FC0CE0">
        <w:tab/>
      </w:r>
      <w:r w:rsidR="00D37133">
        <w:t>5</w:t>
      </w:r>
      <w:r w:rsidR="00FC0CE0">
        <w:t>0.000</w:t>
      </w:r>
      <w:r w:rsidR="00D37133">
        <w:tab/>
      </w:r>
      <w:r w:rsidR="00FC0CE0">
        <w:tab/>
        <w:t>0</w:t>
      </w:r>
      <w:r w:rsidR="00FC0CE0">
        <w:tab/>
      </w:r>
      <w:r w:rsidR="00FC0CE0">
        <w:tab/>
        <w:t>0</w:t>
      </w:r>
    </w:p>
    <w:p w14:paraId="5F0CFA16" w14:textId="627CEFB9" w:rsidR="00EC769C" w:rsidRDefault="00FC0CE0" w:rsidP="00FC0CE0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7133">
        <w:t>5</w:t>
      </w:r>
      <w:r>
        <w:t>0.000</w:t>
      </w:r>
      <w:r w:rsidR="00D37133">
        <w:tab/>
      </w:r>
      <w:r>
        <w:tab/>
        <w:t>0</w:t>
      </w:r>
      <w:r>
        <w:tab/>
      </w:r>
      <w:r>
        <w:tab/>
        <w:t>0</w:t>
      </w:r>
      <w:bookmarkEnd w:id="0"/>
    </w:p>
    <w:p w14:paraId="4AE8676E" w14:textId="00592FD4" w:rsidR="00FC0CE0" w:rsidRDefault="002F479E" w:rsidP="00FC0CE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Ovim programom je planiran</w:t>
      </w:r>
      <w:r w:rsidR="005746B0">
        <w:rPr>
          <w:rFonts w:ascii="Calibri" w:hAnsi="Calibri" w:cs="Calibri"/>
          <w:b/>
          <w:bCs/>
          <w:color w:val="000000"/>
        </w:rPr>
        <w:t>a</w:t>
      </w:r>
      <w:r w:rsidR="00D37133">
        <w:rPr>
          <w:rFonts w:ascii="Calibri" w:hAnsi="Calibri" w:cs="Calibri"/>
          <w:b/>
          <w:bCs/>
          <w:color w:val="000000"/>
        </w:rPr>
        <w:t xml:space="preserve"> udio sufinanciranja</w:t>
      </w:r>
      <w:r w:rsidR="005746B0">
        <w:rPr>
          <w:rFonts w:ascii="Calibri" w:hAnsi="Calibri" w:cs="Calibri"/>
          <w:b/>
          <w:bCs/>
          <w:color w:val="000000"/>
        </w:rPr>
        <w:t xml:space="preserve"> </w:t>
      </w:r>
      <w:r w:rsidR="00D37133">
        <w:rPr>
          <w:rFonts w:ascii="Calibri" w:hAnsi="Calibri" w:cs="Calibri"/>
          <w:b/>
          <w:bCs/>
          <w:color w:val="000000"/>
        </w:rPr>
        <w:t xml:space="preserve">Grada Trilja u </w:t>
      </w:r>
      <w:r>
        <w:rPr>
          <w:rFonts w:ascii="Calibri" w:hAnsi="Calibri" w:cs="Calibri"/>
          <w:b/>
          <w:bCs/>
          <w:color w:val="000000"/>
        </w:rPr>
        <w:t>gradnj</w:t>
      </w:r>
      <w:r w:rsidR="00D37133"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 xml:space="preserve"> nogostupa od Gaza prema Gubavici.</w:t>
      </w:r>
    </w:p>
    <w:p w14:paraId="7E1FDFE1" w14:textId="77777777" w:rsidR="005053B1" w:rsidRDefault="005053B1" w:rsidP="00FC0CE0">
      <w:pPr>
        <w:rPr>
          <w:rFonts w:ascii="Calibri" w:hAnsi="Calibri" w:cs="Calibri"/>
          <w:b/>
          <w:bCs/>
          <w:color w:val="000000"/>
        </w:rPr>
      </w:pPr>
    </w:p>
    <w:p w14:paraId="56A3E7D6" w14:textId="77777777" w:rsidR="005053B1" w:rsidRDefault="005053B1" w:rsidP="00FC0CE0">
      <w:pPr>
        <w:rPr>
          <w:rFonts w:ascii="Calibri" w:hAnsi="Calibri" w:cs="Calibri"/>
          <w:b/>
          <w:bCs/>
          <w:color w:val="000000"/>
        </w:rPr>
      </w:pPr>
    </w:p>
    <w:p w14:paraId="079D37C7" w14:textId="77777777" w:rsidR="005053B1" w:rsidRDefault="005053B1" w:rsidP="00FC0CE0"/>
    <w:p w14:paraId="2C4D8D96" w14:textId="51B717DC" w:rsidR="00FC0CE0" w:rsidRDefault="00FC0CE0" w:rsidP="00FC0CE0">
      <w:pPr>
        <w:jc w:val="right"/>
      </w:pPr>
      <w:r>
        <w:tab/>
      </w:r>
      <w:r w:rsidRPr="007B0D90">
        <w:rPr>
          <w:sz w:val="20"/>
          <w:szCs w:val="20"/>
        </w:rPr>
        <w:t>Proračun 202</w:t>
      </w:r>
      <w:r w:rsidR="00D578BB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D578BB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D578BB">
        <w:rPr>
          <w:sz w:val="20"/>
          <w:szCs w:val="20"/>
        </w:rPr>
        <w:t>7</w:t>
      </w:r>
      <w:r>
        <w:t>.</w:t>
      </w:r>
    </w:p>
    <w:p w14:paraId="25B7F2A1" w14:textId="6C81EA48" w:rsidR="00D578BB" w:rsidRDefault="00FC0CE0" w:rsidP="00FC0CE0">
      <w:pPr>
        <w:rPr>
          <w:b/>
          <w:bCs/>
          <w:sz w:val="24"/>
          <w:szCs w:val="24"/>
        </w:rPr>
      </w:pPr>
      <w:r w:rsidRPr="00FC0CE0">
        <w:rPr>
          <w:b/>
          <w:bCs/>
          <w:sz w:val="24"/>
          <w:szCs w:val="24"/>
        </w:rPr>
        <w:t xml:space="preserve">Izgradnja nogostupa </w:t>
      </w:r>
      <w:r w:rsidR="00D578BB">
        <w:rPr>
          <w:b/>
          <w:bCs/>
          <w:sz w:val="24"/>
          <w:szCs w:val="24"/>
        </w:rPr>
        <w:t xml:space="preserve">u naselju </w:t>
      </w:r>
      <w:proofErr w:type="spellStart"/>
      <w:r w:rsidR="00D578BB">
        <w:rPr>
          <w:b/>
          <w:bCs/>
          <w:sz w:val="24"/>
          <w:szCs w:val="24"/>
        </w:rPr>
        <w:t>Vrabač</w:t>
      </w:r>
      <w:proofErr w:type="spellEnd"/>
      <w:r w:rsidR="00D578BB">
        <w:rPr>
          <w:b/>
          <w:bCs/>
          <w:sz w:val="24"/>
          <w:szCs w:val="24"/>
        </w:rPr>
        <w:t xml:space="preserve"> – </w:t>
      </w:r>
    </w:p>
    <w:p w14:paraId="6E89D3E8" w14:textId="7F81A2B5" w:rsidR="00FC0CE0" w:rsidRDefault="0087408D" w:rsidP="00FC0CE0">
      <w:r>
        <w:rPr>
          <w:b/>
          <w:bCs/>
          <w:sz w:val="24"/>
          <w:szCs w:val="24"/>
        </w:rPr>
        <w:t>z</w:t>
      </w:r>
      <w:r w:rsidR="00D578BB">
        <w:rPr>
          <w:b/>
          <w:bCs/>
          <w:sz w:val="24"/>
          <w:szCs w:val="24"/>
        </w:rPr>
        <w:t xml:space="preserve">aseok </w:t>
      </w:r>
      <w:proofErr w:type="spellStart"/>
      <w:r w:rsidR="00D578BB">
        <w:rPr>
          <w:b/>
          <w:bCs/>
          <w:sz w:val="24"/>
          <w:szCs w:val="24"/>
        </w:rPr>
        <w:t>Svinjača</w:t>
      </w:r>
      <w:proofErr w:type="spellEnd"/>
      <w:r w:rsidR="00D578BB">
        <w:rPr>
          <w:b/>
          <w:bCs/>
          <w:sz w:val="24"/>
          <w:szCs w:val="24"/>
        </w:rPr>
        <w:tab/>
      </w:r>
      <w:r w:rsidR="00FC0CE0">
        <w:tab/>
      </w:r>
      <w:r w:rsidR="00FC0CE0">
        <w:tab/>
      </w:r>
      <w:r w:rsidR="00FC0CE0">
        <w:tab/>
      </w:r>
      <w:r w:rsidR="00FC0CE0">
        <w:tab/>
      </w:r>
      <w:r w:rsidR="00D578BB">
        <w:t>3</w:t>
      </w:r>
      <w:r w:rsidR="00FC0CE0">
        <w:t>0.000</w:t>
      </w:r>
      <w:r w:rsidR="00FC0CE0">
        <w:tab/>
      </w:r>
      <w:r w:rsidR="00FC0CE0">
        <w:tab/>
      </w:r>
      <w:r>
        <w:tab/>
      </w:r>
      <w:r w:rsidR="00FC0CE0">
        <w:t>0</w:t>
      </w:r>
      <w:r w:rsidR="00FC0CE0">
        <w:tab/>
      </w:r>
      <w:r w:rsidR="00FC0CE0">
        <w:tab/>
        <w:t>0</w:t>
      </w:r>
    </w:p>
    <w:p w14:paraId="3893651E" w14:textId="4068961B" w:rsidR="00FC0CE0" w:rsidRDefault="00FC0CE0" w:rsidP="00FC0CE0">
      <w:r>
        <w:t>Rashodi za nabavu nefinancijske imovine</w:t>
      </w:r>
      <w:r>
        <w:tab/>
      </w:r>
      <w:r>
        <w:tab/>
      </w:r>
      <w:r w:rsidR="00D578BB">
        <w:t>3</w:t>
      </w:r>
      <w:r>
        <w:t>0.000</w:t>
      </w:r>
      <w:r w:rsidR="00D578BB">
        <w:tab/>
      </w:r>
      <w:r>
        <w:tab/>
      </w:r>
      <w:r>
        <w:tab/>
        <w:t>0</w:t>
      </w:r>
      <w:r>
        <w:tab/>
      </w:r>
      <w:r>
        <w:tab/>
        <w:t>0</w:t>
      </w:r>
    </w:p>
    <w:p w14:paraId="099AF0DD" w14:textId="48F89908" w:rsidR="00FC0CE0" w:rsidRDefault="00FC0CE0" w:rsidP="00FC0CE0">
      <w:r>
        <w:t>Rashodi za nabavu proizvedene dugotrajne imovine</w:t>
      </w:r>
      <w:r>
        <w:tab/>
      </w:r>
      <w:r w:rsidR="00D578BB">
        <w:t>3</w:t>
      </w:r>
      <w:r>
        <w:t>0.000</w:t>
      </w:r>
      <w:r w:rsidR="00D578BB">
        <w:tab/>
      </w:r>
      <w:r>
        <w:tab/>
      </w:r>
      <w:r>
        <w:tab/>
        <w:t>0</w:t>
      </w:r>
      <w:r>
        <w:tab/>
      </w:r>
      <w:r>
        <w:tab/>
        <w:t>0</w:t>
      </w:r>
    </w:p>
    <w:p w14:paraId="0DCCF774" w14:textId="03178729" w:rsidR="00FC0CE0" w:rsidRDefault="00D578BB" w:rsidP="00FC0CE0">
      <w:r>
        <w:t>Prihodi za posebne namjene</w:t>
      </w:r>
      <w:r w:rsidR="00FC0CE0">
        <w:tab/>
      </w:r>
      <w:r w:rsidR="00FC0CE0">
        <w:tab/>
      </w:r>
      <w:r w:rsidR="00FC0CE0">
        <w:tab/>
      </w:r>
      <w:r w:rsidR="00FC0CE0">
        <w:tab/>
      </w:r>
      <w:r>
        <w:t>3</w:t>
      </w:r>
      <w:r w:rsidR="00FC0CE0">
        <w:t>0.000</w:t>
      </w:r>
      <w:r w:rsidR="00FC0CE0">
        <w:tab/>
      </w:r>
      <w:r>
        <w:tab/>
      </w:r>
      <w:r w:rsidR="00FC0CE0">
        <w:tab/>
        <w:t>0</w:t>
      </w:r>
      <w:r w:rsidR="00FC0CE0">
        <w:tab/>
      </w:r>
      <w:r w:rsidR="00FC0CE0">
        <w:tab/>
        <w:t>0</w:t>
      </w:r>
    </w:p>
    <w:p w14:paraId="0843FB54" w14:textId="30469890" w:rsidR="002F479E" w:rsidRDefault="002F479E" w:rsidP="002F479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Ovim programom je </w:t>
      </w:r>
      <w:r w:rsidR="005746B0">
        <w:rPr>
          <w:rFonts w:ascii="Calibri" w:hAnsi="Calibri" w:cs="Calibri"/>
          <w:b/>
          <w:bCs/>
          <w:color w:val="000000"/>
        </w:rPr>
        <w:t>planirana gradnja</w:t>
      </w:r>
      <w:r>
        <w:rPr>
          <w:rFonts w:ascii="Calibri" w:hAnsi="Calibri" w:cs="Calibri"/>
          <w:b/>
          <w:bCs/>
          <w:color w:val="000000"/>
        </w:rPr>
        <w:t xml:space="preserve"> nogostupa kroz </w:t>
      </w:r>
      <w:r w:rsidR="00D578BB">
        <w:rPr>
          <w:rFonts w:ascii="Calibri" w:hAnsi="Calibri" w:cs="Calibri"/>
          <w:b/>
          <w:bCs/>
          <w:color w:val="000000"/>
        </w:rPr>
        <w:t xml:space="preserve">zaseok </w:t>
      </w:r>
      <w:proofErr w:type="spellStart"/>
      <w:r w:rsidR="00D578BB">
        <w:rPr>
          <w:rFonts w:ascii="Calibri" w:hAnsi="Calibri" w:cs="Calibri"/>
          <w:b/>
          <w:bCs/>
          <w:color w:val="000000"/>
        </w:rPr>
        <w:t>Svinjača</w:t>
      </w:r>
      <w:proofErr w:type="spellEnd"/>
      <w:r w:rsidR="00D578BB">
        <w:rPr>
          <w:rFonts w:ascii="Calibri" w:hAnsi="Calibri" w:cs="Calibri"/>
          <w:b/>
          <w:bCs/>
          <w:color w:val="000000"/>
        </w:rPr>
        <w:t xml:space="preserve"> u naselju </w:t>
      </w:r>
      <w:proofErr w:type="spellStart"/>
      <w:r w:rsidR="00D578BB">
        <w:rPr>
          <w:rFonts w:ascii="Calibri" w:hAnsi="Calibri" w:cs="Calibri"/>
          <w:b/>
          <w:bCs/>
          <w:color w:val="000000"/>
        </w:rPr>
        <w:t>Vrabač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</w:p>
    <w:p w14:paraId="3EF6ACCF" w14:textId="77777777" w:rsidR="00D578BB" w:rsidRDefault="00D578BB" w:rsidP="00D578BB">
      <w:pPr>
        <w:jc w:val="right"/>
      </w:pPr>
      <w:r>
        <w:tab/>
      </w: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>
        <w:t>.</w:t>
      </w:r>
    </w:p>
    <w:p w14:paraId="5D6E040E" w14:textId="205D63B9" w:rsidR="00D578BB" w:rsidRDefault="00D578BB" w:rsidP="00D578BB">
      <w:r w:rsidRPr="00FC0CE0">
        <w:rPr>
          <w:b/>
          <w:bCs/>
          <w:sz w:val="24"/>
          <w:szCs w:val="24"/>
        </w:rPr>
        <w:t xml:space="preserve">Izgradnja nogostupa </w:t>
      </w:r>
      <w:r w:rsidR="00F01234">
        <w:rPr>
          <w:b/>
          <w:bCs/>
          <w:sz w:val="24"/>
          <w:szCs w:val="24"/>
        </w:rPr>
        <w:t>Velić</w:t>
      </w:r>
      <w:r>
        <w:tab/>
      </w:r>
      <w:r>
        <w:tab/>
      </w:r>
      <w:r>
        <w:tab/>
      </w:r>
      <w:r>
        <w:tab/>
      </w:r>
      <w:r w:rsidR="00F01234">
        <w:t>50</w:t>
      </w:r>
      <w:r>
        <w:t>.000</w:t>
      </w:r>
      <w:r>
        <w:tab/>
      </w:r>
      <w:r w:rsidR="00F01234">
        <w:tab/>
      </w:r>
      <w:r>
        <w:tab/>
        <w:t>0</w:t>
      </w:r>
      <w:r>
        <w:tab/>
      </w:r>
      <w:r>
        <w:tab/>
        <w:t>0</w:t>
      </w:r>
    </w:p>
    <w:p w14:paraId="609E6AE5" w14:textId="33D764C3" w:rsidR="00D578BB" w:rsidRDefault="00D578BB" w:rsidP="00D578BB">
      <w:r>
        <w:t>Rashodi za nabavu nefinancijske imovine</w:t>
      </w:r>
      <w:r>
        <w:tab/>
      </w:r>
      <w:r>
        <w:tab/>
      </w:r>
      <w:r w:rsidR="00F01234">
        <w:t>5</w:t>
      </w:r>
      <w:r>
        <w:t>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3877BCEA" w14:textId="0A275441" w:rsidR="00D578BB" w:rsidRDefault="00D578BB" w:rsidP="00D578BB">
      <w:r>
        <w:t>Rashodi za nabavu proizvedene dugotrajne imovine</w:t>
      </w:r>
      <w:r>
        <w:tab/>
      </w:r>
      <w:r w:rsidR="00F01234">
        <w:t>5</w:t>
      </w:r>
      <w:r>
        <w:t>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64974229" w14:textId="2000C85B" w:rsidR="00D578BB" w:rsidRDefault="00837930" w:rsidP="00D578BB">
      <w:r>
        <w:t>Pomoći</w:t>
      </w:r>
      <w:r>
        <w:tab/>
      </w:r>
      <w:r>
        <w:tab/>
      </w:r>
      <w:r>
        <w:tab/>
      </w:r>
      <w:r w:rsidR="00D578BB">
        <w:tab/>
      </w:r>
      <w:r w:rsidR="00D578BB">
        <w:tab/>
      </w:r>
      <w:r w:rsidR="00D578BB">
        <w:tab/>
      </w:r>
      <w:r w:rsidR="00D578BB">
        <w:tab/>
      </w:r>
      <w:r w:rsidR="00F01234">
        <w:t>5</w:t>
      </w:r>
      <w:r w:rsidR="00D578BB">
        <w:t>0.000</w:t>
      </w:r>
      <w:r w:rsidR="00D578BB">
        <w:tab/>
      </w:r>
      <w:r w:rsidR="00D578BB">
        <w:tab/>
      </w:r>
      <w:r w:rsidR="00D578BB">
        <w:tab/>
        <w:t>0</w:t>
      </w:r>
      <w:r w:rsidR="00D578BB">
        <w:tab/>
      </w:r>
      <w:r w:rsidR="00D578BB">
        <w:tab/>
        <w:t>0</w:t>
      </w:r>
    </w:p>
    <w:p w14:paraId="19D200FA" w14:textId="77777777" w:rsidR="00D578BB" w:rsidRDefault="00D578BB" w:rsidP="00D578BB"/>
    <w:p w14:paraId="287C47BF" w14:textId="751B8C59" w:rsidR="00D578BB" w:rsidRDefault="00D578BB" w:rsidP="00D578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Ovim programom je planirana gradnja nogostupa u naselju V</w:t>
      </w:r>
      <w:r w:rsidR="00F01234">
        <w:rPr>
          <w:rFonts w:ascii="Calibri" w:hAnsi="Calibri" w:cs="Calibri"/>
          <w:b/>
          <w:bCs/>
          <w:color w:val="000000"/>
        </w:rPr>
        <w:t>elić</w:t>
      </w:r>
      <w:r>
        <w:rPr>
          <w:rFonts w:ascii="Calibri" w:hAnsi="Calibri" w:cs="Calibri"/>
          <w:b/>
          <w:bCs/>
          <w:color w:val="000000"/>
        </w:rPr>
        <w:t>.</w:t>
      </w:r>
    </w:p>
    <w:p w14:paraId="5273607A" w14:textId="77777777" w:rsidR="00F01234" w:rsidRDefault="00F01234" w:rsidP="00D578BB">
      <w:pPr>
        <w:rPr>
          <w:rFonts w:ascii="Calibri" w:hAnsi="Calibri" w:cs="Calibri"/>
          <w:b/>
          <w:bCs/>
          <w:color w:val="000000"/>
        </w:rPr>
      </w:pPr>
    </w:p>
    <w:p w14:paraId="59D7E121" w14:textId="07ECCD7A" w:rsidR="00F01234" w:rsidRPr="007B0D90" w:rsidRDefault="00F01234" w:rsidP="00F01234">
      <w:pPr>
        <w:jc w:val="right"/>
        <w:rPr>
          <w:sz w:val="20"/>
          <w:szCs w:val="20"/>
        </w:rPr>
      </w:pPr>
      <w:r>
        <w:tab/>
      </w: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49E4A2AD" w14:textId="77777777" w:rsidR="00F01234" w:rsidRDefault="00F01234" w:rsidP="00F01234">
      <w:r w:rsidRPr="00735797">
        <w:rPr>
          <w:b/>
          <w:bCs/>
          <w:sz w:val="24"/>
          <w:szCs w:val="24"/>
        </w:rPr>
        <w:t>Proširenje puta u Vedrinama s potpornim zidovima</w:t>
      </w:r>
      <w:r>
        <w:t xml:space="preserve">     100.000</w:t>
      </w:r>
      <w:r>
        <w:tab/>
      </w:r>
      <w:r>
        <w:tab/>
        <w:t>0</w:t>
      </w:r>
      <w:r>
        <w:tab/>
      </w:r>
      <w:r>
        <w:tab/>
        <w:t>0</w:t>
      </w:r>
    </w:p>
    <w:p w14:paraId="6341B211" w14:textId="77777777" w:rsidR="00F01234" w:rsidRDefault="00F01234" w:rsidP="00F01234">
      <w:r>
        <w:t>Rashodi za nabavu nefinancijske imovine</w:t>
      </w:r>
      <w:r>
        <w:tab/>
      </w:r>
      <w:r>
        <w:tab/>
        <w:t xml:space="preserve">       100.000</w:t>
      </w:r>
      <w:r>
        <w:tab/>
      </w:r>
      <w:r>
        <w:tab/>
        <w:t>0</w:t>
      </w:r>
      <w:r>
        <w:tab/>
      </w:r>
      <w:r>
        <w:tab/>
        <w:t>0</w:t>
      </w:r>
    </w:p>
    <w:p w14:paraId="6A59339A" w14:textId="77777777" w:rsidR="00F01234" w:rsidRDefault="00F01234" w:rsidP="00F01234">
      <w:r>
        <w:t>Rashodi za nabavu proizvedene dugotrajne imovine</w:t>
      </w:r>
      <w:r>
        <w:tab/>
        <w:t xml:space="preserve">       100.000</w:t>
      </w:r>
      <w:r>
        <w:tab/>
      </w:r>
      <w:r>
        <w:tab/>
        <w:t>0</w:t>
      </w:r>
      <w:r>
        <w:tab/>
      </w:r>
      <w:r>
        <w:tab/>
        <w:t>0</w:t>
      </w:r>
    </w:p>
    <w:p w14:paraId="7B1D9DB1" w14:textId="6F9AF7FF" w:rsidR="00F01234" w:rsidRDefault="00837930" w:rsidP="00F01234">
      <w:r>
        <w:t>Pomoći</w:t>
      </w:r>
      <w:r>
        <w:tab/>
      </w:r>
      <w:r>
        <w:tab/>
      </w:r>
      <w:r>
        <w:tab/>
      </w:r>
      <w:r w:rsidR="00F01234">
        <w:tab/>
      </w:r>
      <w:r w:rsidR="00F01234">
        <w:tab/>
      </w:r>
      <w:r w:rsidR="00F01234">
        <w:tab/>
      </w:r>
      <w:r w:rsidR="00F01234">
        <w:tab/>
        <w:t xml:space="preserve">       100.000</w:t>
      </w:r>
      <w:r w:rsidR="00F01234">
        <w:tab/>
      </w:r>
      <w:r w:rsidR="00F01234">
        <w:tab/>
        <w:t>0</w:t>
      </w:r>
      <w:r w:rsidR="00F01234">
        <w:tab/>
      </w:r>
      <w:r w:rsidR="00F01234">
        <w:tab/>
        <w:t>0</w:t>
      </w:r>
    </w:p>
    <w:p w14:paraId="00527BFF" w14:textId="77777777" w:rsidR="00F01234" w:rsidRDefault="00F01234" w:rsidP="00F01234">
      <w:pPr>
        <w:rPr>
          <w:b/>
          <w:bCs/>
        </w:rPr>
      </w:pPr>
      <w:r w:rsidRPr="005746B0">
        <w:rPr>
          <w:b/>
          <w:bCs/>
        </w:rPr>
        <w:t>Ovaj program predviđa izgradnju potpornih zidova i proširenje prometnice u naselju Vedrine.</w:t>
      </w:r>
    </w:p>
    <w:p w14:paraId="1E5939D4" w14:textId="77777777" w:rsidR="005E7DC5" w:rsidRDefault="005E7DC5" w:rsidP="00F01234">
      <w:pPr>
        <w:rPr>
          <w:b/>
          <w:bCs/>
        </w:rPr>
      </w:pPr>
    </w:p>
    <w:p w14:paraId="49565B16" w14:textId="77777777" w:rsidR="005E7DC5" w:rsidRDefault="005E7DC5" w:rsidP="005E7DC5"/>
    <w:p w14:paraId="10F135F5" w14:textId="61E68E92" w:rsidR="005E7DC5" w:rsidRDefault="005E7DC5" w:rsidP="005E7DC5">
      <w:pPr>
        <w:jc w:val="right"/>
      </w:pPr>
      <w:r>
        <w:tab/>
      </w:r>
      <w:r w:rsidRPr="007B0D90">
        <w:rPr>
          <w:sz w:val="20"/>
          <w:szCs w:val="20"/>
        </w:rPr>
        <w:t>Proračun 202</w:t>
      </w:r>
      <w:r w:rsidR="009B71CE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9B71CE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9B71CE"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611752E9" w14:textId="77777777" w:rsidR="005E7DC5" w:rsidRDefault="005E7DC5" w:rsidP="005E7D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Izgradnja</w:t>
      </w:r>
      <w:r w:rsidRPr="00735797">
        <w:rPr>
          <w:b/>
          <w:bCs/>
          <w:sz w:val="24"/>
          <w:szCs w:val="24"/>
        </w:rPr>
        <w:t xml:space="preserve"> vodoopskrbe</w:t>
      </w:r>
      <w:r>
        <w:rPr>
          <w:b/>
          <w:bCs/>
          <w:sz w:val="24"/>
          <w:szCs w:val="24"/>
        </w:rPr>
        <w:t>- Voštane, sekundarne</w:t>
      </w:r>
    </w:p>
    <w:p w14:paraId="6456D5FC" w14:textId="77777777" w:rsidR="000A0090" w:rsidRDefault="005E7DC5" w:rsidP="005E7D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linije </w:t>
      </w:r>
      <w:proofErr w:type="spellStart"/>
      <w:r>
        <w:rPr>
          <w:b/>
          <w:bCs/>
          <w:sz w:val="24"/>
          <w:szCs w:val="24"/>
        </w:rPr>
        <w:t>Strmendolac</w:t>
      </w:r>
      <w:proofErr w:type="spellEnd"/>
      <w:r>
        <w:rPr>
          <w:b/>
          <w:bCs/>
          <w:sz w:val="24"/>
          <w:szCs w:val="24"/>
        </w:rPr>
        <w:t xml:space="preserve">, Vedrine, Trilj, </w:t>
      </w:r>
      <w:proofErr w:type="spellStart"/>
      <w:r>
        <w:rPr>
          <w:b/>
          <w:bCs/>
          <w:sz w:val="24"/>
          <w:szCs w:val="24"/>
        </w:rPr>
        <w:t>Bisko</w:t>
      </w:r>
      <w:proofErr w:type="spellEnd"/>
      <w:r>
        <w:rPr>
          <w:b/>
          <w:bCs/>
          <w:sz w:val="24"/>
          <w:szCs w:val="24"/>
        </w:rPr>
        <w:t xml:space="preserve">, </w:t>
      </w:r>
    </w:p>
    <w:p w14:paraId="41437D79" w14:textId="3DD01FBD" w:rsidR="005E7DC5" w:rsidRPr="000A0090" w:rsidRDefault="005E7DC5" w:rsidP="005E7D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Velić, </w:t>
      </w:r>
      <w:r w:rsidRPr="00735797">
        <w:rPr>
          <w:b/>
          <w:bCs/>
          <w:sz w:val="24"/>
          <w:szCs w:val="24"/>
        </w:rPr>
        <w:t>Ugljan</w:t>
      </w:r>
      <w:r w:rsidR="000A0090">
        <w:rPr>
          <w:b/>
          <w:bCs/>
          <w:sz w:val="24"/>
          <w:szCs w:val="24"/>
        </w:rPr>
        <w:t>e</w:t>
      </w:r>
      <w:r>
        <w:tab/>
      </w:r>
      <w:r>
        <w:tab/>
      </w:r>
      <w:r>
        <w:tab/>
      </w:r>
      <w:r w:rsidR="000A0090">
        <w:tab/>
      </w:r>
      <w:r w:rsidR="000A0090">
        <w:tab/>
      </w:r>
      <w:r w:rsidR="000A0090">
        <w:tab/>
        <w:t>65</w:t>
      </w:r>
      <w:r>
        <w:t>.000</w:t>
      </w:r>
      <w:r>
        <w:tab/>
      </w:r>
      <w:r>
        <w:tab/>
      </w:r>
      <w:r w:rsidR="000A0090">
        <w:t>75.000</w:t>
      </w:r>
      <w:r>
        <w:tab/>
      </w:r>
      <w:r>
        <w:tab/>
      </w:r>
      <w:r w:rsidR="000A0090">
        <w:t>75.000</w:t>
      </w:r>
    </w:p>
    <w:p w14:paraId="55315ECD" w14:textId="756B86FE" w:rsidR="005E7DC5" w:rsidRDefault="005E7DC5" w:rsidP="005E7DC5">
      <w:bookmarkStart w:id="3" w:name="_Hlk182895462"/>
      <w:r>
        <w:t>Rashodi poslovanja</w:t>
      </w:r>
      <w:r>
        <w:tab/>
      </w:r>
      <w:r>
        <w:tab/>
      </w:r>
      <w:r>
        <w:tab/>
      </w:r>
      <w:r>
        <w:tab/>
      </w:r>
      <w:r>
        <w:tab/>
      </w:r>
      <w:r w:rsidR="000A0090">
        <w:t>65.000</w:t>
      </w:r>
      <w:r w:rsidR="000A0090">
        <w:tab/>
      </w:r>
      <w:r w:rsidR="000A0090">
        <w:tab/>
        <w:t>75.000</w:t>
      </w:r>
      <w:r w:rsidR="000A0090">
        <w:tab/>
      </w:r>
      <w:r w:rsidR="000A0090">
        <w:tab/>
        <w:t>75.000</w:t>
      </w:r>
    </w:p>
    <w:bookmarkEnd w:id="3"/>
    <w:p w14:paraId="1051F958" w14:textId="67C632BB" w:rsidR="000A0090" w:rsidRDefault="000A0090" w:rsidP="000A0090">
      <w:r>
        <w:t>Materijalni rashodi</w:t>
      </w:r>
      <w:r>
        <w:tab/>
      </w:r>
      <w:r>
        <w:tab/>
      </w:r>
      <w:r>
        <w:tab/>
      </w:r>
      <w:r>
        <w:tab/>
      </w:r>
      <w:r>
        <w:tab/>
        <w:t xml:space="preserve"> 5.000</w:t>
      </w:r>
      <w:r>
        <w:tab/>
      </w:r>
      <w:r>
        <w:tab/>
        <w:t xml:space="preserve"> 5.000</w:t>
      </w:r>
      <w:r>
        <w:tab/>
      </w:r>
      <w:r>
        <w:tab/>
        <w:t xml:space="preserve"> 5.000</w:t>
      </w:r>
    </w:p>
    <w:p w14:paraId="7548A4FA" w14:textId="730D7496" w:rsidR="009B71CE" w:rsidRDefault="009B71CE" w:rsidP="009B71CE">
      <w:r>
        <w:t>Prihodi za posebne namjene</w:t>
      </w:r>
      <w:r>
        <w:tab/>
      </w:r>
      <w:r>
        <w:tab/>
      </w:r>
      <w:r>
        <w:tab/>
      </w:r>
      <w:r>
        <w:tab/>
        <w:t xml:space="preserve"> 5.000</w:t>
      </w:r>
      <w:r>
        <w:tab/>
      </w:r>
      <w:r>
        <w:tab/>
        <w:t xml:space="preserve"> 5.000</w:t>
      </w:r>
      <w:r>
        <w:tab/>
      </w:r>
      <w:r>
        <w:tab/>
        <w:t xml:space="preserve"> 5.000</w:t>
      </w:r>
    </w:p>
    <w:p w14:paraId="5D740627" w14:textId="0AA00CE5" w:rsidR="000A0090" w:rsidRDefault="005E7DC5" w:rsidP="005E7DC5">
      <w:r>
        <w:lastRenderedPageBreak/>
        <w:t>Ostali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0090">
        <w:t>6</w:t>
      </w:r>
      <w:r w:rsidR="009B71CE">
        <w:t>0</w:t>
      </w:r>
      <w:r w:rsidR="000A0090">
        <w:t>.000</w:t>
      </w:r>
      <w:r w:rsidR="000A0090">
        <w:tab/>
      </w:r>
      <w:r w:rsidR="000A0090">
        <w:tab/>
        <w:t>70.000</w:t>
      </w:r>
      <w:r w:rsidR="000A0090">
        <w:tab/>
      </w:r>
      <w:r w:rsidR="000A0090">
        <w:tab/>
        <w:t>70.000</w:t>
      </w:r>
    </w:p>
    <w:p w14:paraId="6B3A35CA" w14:textId="0FBDE087" w:rsidR="005E7DC5" w:rsidRDefault="005E7DC5" w:rsidP="005E7DC5">
      <w:r>
        <w:t>Prihodi za posebne namjene</w:t>
      </w:r>
      <w:r>
        <w:tab/>
      </w:r>
      <w:r>
        <w:tab/>
      </w:r>
      <w:r>
        <w:tab/>
      </w:r>
      <w:r>
        <w:tab/>
      </w:r>
      <w:r w:rsidR="00D13E89">
        <w:t>0</w:t>
      </w:r>
      <w:r w:rsidR="009B71CE">
        <w:tab/>
      </w:r>
      <w:r w:rsidR="009B71CE">
        <w:tab/>
        <w:t>70.000</w:t>
      </w:r>
      <w:r w:rsidR="009B71CE">
        <w:tab/>
      </w:r>
      <w:r w:rsidR="009B71CE">
        <w:tab/>
        <w:t>70.000</w:t>
      </w:r>
    </w:p>
    <w:p w14:paraId="064A1A30" w14:textId="2529D27C" w:rsidR="00D13E89" w:rsidRDefault="00D13E89" w:rsidP="00D13E89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60.000</w:t>
      </w:r>
      <w:r>
        <w:tab/>
      </w:r>
      <w:r>
        <w:tab/>
      </w:r>
      <w:r w:rsidR="00515BA3">
        <w:t>0</w:t>
      </w:r>
      <w:r>
        <w:tab/>
      </w:r>
      <w:r>
        <w:tab/>
      </w:r>
      <w:r w:rsidR="00515BA3">
        <w:t>0</w:t>
      </w:r>
    </w:p>
    <w:p w14:paraId="1A725FBA" w14:textId="163BA817" w:rsidR="005E7DC5" w:rsidRPr="009B71CE" w:rsidRDefault="005E7DC5" w:rsidP="009B71CE">
      <w:pPr>
        <w:rPr>
          <w:b/>
          <w:bCs/>
          <w:sz w:val="24"/>
          <w:szCs w:val="24"/>
        </w:rPr>
      </w:pPr>
      <w:r w:rsidRPr="005746B0">
        <w:rPr>
          <w:b/>
          <w:bCs/>
        </w:rPr>
        <w:t xml:space="preserve">Program obuhvaća izgradnju nove vodovodne linije u naselju </w:t>
      </w:r>
      <w:r w:rsidR="009B71CE">
        <w:rPr>
          <w:b/>
          <w:bCs/>
        </w:rPr>
        <w:t xml:space="preserve">Voštane, te sekundarne linije u naseljima </w:t>
      </w:r>
      <w:proofErr w:type="spellStart"/>
      <w:r w:rsidR="009B71CE" w:rsidRPr="009B71CE">
        <w:rPr>
          <w:b/>
          <w:bCs/>
        </w:rPr>
        <w:t>Strmendolac</w:t>
      </w:r>
      <w:proofErr w:type="spellEnd"/>
      <w:r w:rsidR="009B71CE" w:rsidRPr="009B71CE">
        <w:rPr>
          <w:b/>
          <w:bCs/>
        </w:rPr>
        <w:t xml:space="preserve">, Vedrine, Trilj, </w:t>
      </w:r>
      <w:proofErr w:type="spellStart"/>
      <w:r w:rsidR="009B71CE" w:rsidRPr="009B71CE">
        <w:rPr>
          <w:b/>
          <w:bCs/>
        </w:rPr>
        <w:t>Bisko</w:t>
      </w:r>
      <w:proofErr w:type="spellEnd"/>
      <w:r w:rsidR="009B71CE" w:rsidRPr="009B71CE">
        <w:rPr>
          <w:b/>
          <w:bCs/>
        </w:rPr>
        <w:t>, Velić, Ugljane</w:t>
      </w:r>
      <w:r w:rsidRPr="005746B0">
        <w:rPr>
          <w:b/>
          <w:bCs/>
        </w:rPr>
        <w:t>.</w:t>
      </w:r>
    </w:p>
    <w:p w14:paraId="7B699CD4" w14:textId="77777777" w:rsidR="00FC0CE0" w:rsidRDefault="00FC0CE0" w:rsidP="00FC0CE0"/>
    <w:p w14:paraId="43D006F0" w14:textId="77777777" w:rsidR="008313A8" w:rsidRDefault="008313A8" w:rsidP="00FC0CE0"/>
    <w:p w14:paraId="06730E27" w14:textId="77777777" w:rsidR="008313A8" w:rsidRDefault="008313A8" w:rsidP="00FC0CE0"/>
    <w:p w14:paraId="6C377BFE" w14:textId="2B94FA77" w:rsidR="00735797" w:rsidRDefault="00735797" w:rsidP="00735797">
      <w:pPr>
        <w:jc w:val="right"/>
      </w:pPr>
      <w:r>
        <w:tab/>
      </w:r>
      <w:r w:rsidRPr="007B0D90">
        <w:rPr>
          <w:sz w:val="20"/>
          <w:szCs w:val="20"/>
        </w:rPr>
        <w:t>Proračun 202</w:t>
      </w:r>
      <w:r w:rsidR="00E52DE7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E52DE7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E52DE7"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611AD8B1" w14:textId="77777777" w:rsidR="00D0131C" w:rsidRDefault="00735797" w:rsidP="00735797">
      <w:pPr>
        <w:rPr>
          <w:b/>
          <w:bCs/>
          <w:sz w:val="24"/>
          <w:szCs w:val="24"/>
        </w:rPr>
      </w:pPr>
      <w:r w:rsidRPr="00735797">
        <w:rPr>
          <w:b/>
          <w:bCs/>
          <w:sz w:val="24"/>
          <w:szCs w:val="24"/>
        </w:rPr>
        <w:t xml:space="preserve">Izgradnja </w:t>
      </w:r>
      <w:r w:rsidR="00D0131C">
        <w:rPr>
          <w:b/>
          <w:bCs/>
          <w:sz w:val="24"/>
          <w:szCs w:val="24"/>
        </w:rPr>
        <w:t xml:space="preserve">sekundarne linije kanalizacijskog </w:t>
      </w:r>
    </w:p>
    <w:p w14:paraId="279CAD58" w14:textId="5B1E0C08" w:rsidR="00735797" w:rsidRDefault="00E52DE7" w:rsidP="00735797">
      <w:r>
        <w:rPr>
          <w:b/>
          <w:bCs/>
          <w:sz w:val="24"/>
          <w:szCs w:val="24"/>
        </w:rPr>
        <w:t>s</w:t>
      </w:r>
      <w:r w:rsidR="00D0131C">
        <w:rPr>
          <w:b/>
          <w:bCs/>
          <w:sz w:val="24"/>
          <w:szCs w:val="24"/>
        </w:rPr>
        <w:t>ustava Grab, Vedrine, Košute</w:t>
      </w:r>
      <w:r w:rsidR="00D0131C">
        <w:rPr>
          <w:b/>
          <w:bCs/>
          <w:sz w:val="24"/>
          <w:szCs w:val="24"/>
        </w:rPr>
        <w:tab/>
      </w:r>
      <w:r w:rsidR="00D0131C">
        <w:rPr>
          <w:b/>
          <w:bCs/>
          <w:sz w:val="24"/>
          <w:szCs w:val="24"/>
        </w:rPr>
        <w:tab/>
      </w:r>
      <w:r w:rsidR="00D0131C">
        <w:rPr>
          <w:b/>
          <w:bCs/>
          <w:sz w:val="24"/>
          <w:szCs w:val="24"/>
        </w:rPr>
        <w:tab/>
      </w:r>
      <w:r w:rsidR="00735797">
        <w:tab/>
      </w:r>
      <w:r w:rsidR="00D0131C">
        <w:t>48</w:t>
      </w:r>
      <w:r w:rsidR="00735797">
        <w:t>.000</w:t>
      </w:r>
      <w:r w:rsidR="00735797">
        <w:tab/>
      </w:r>
      <w:r w:rsidR="00735797">
        <w:tab/>
        <w:t>0</w:t>
      </w:r>
      <w:r w:rsidR="00735797">
        <w:tab/>
      </w:r>
      <w:r w:rsidR="00735797">
        <w:tab/>
        <w:t>0</w:t>
      </w:r>
    </w:p>
    <w:p w14:paraId="28BCBBFF" w14:textId="5A067B98" w:rsidR="00735797" w:rsidRDefault="00735797" w:rsidP="00735797">
      <w:r>
        <w:t xml:space="preserve">Rashodi </w:t>
      </w:r>
      <w:r w:rsidR="00D0131C">
        <w:t>poslovanja</w:t>
      </w:r>
      <w:r w:rsidR="00D0131C">
        <w:tab/>
      </w:r>
      <w:r w:rsidR="00D0131C">
        <w:tab/>
      </w:r>
      <w:r w:rsidR="00D0131C">
        <w:tab/>
      </w:r>
      <w:r>
        <w:tab/>
      </w:r>
      <w:r>
        <w:tab/>
      </w:r>
      <w:r>
        <w:tab/>
      </w:r>
      <w:r w:rsidR="00D0131C">
        <w:t>48</w:t>
      </w:r>
      <w:r>
        <w:t>.000</w:t>
      </w:r>
      <w:r>
        <w:tab/>
      </w:r>
      <w:r>
        <w:tab/>
        <w:t>0</w:t>
      </w:r>
      <w:r>
        <w:tab/>
      </w:r>
      <w:r>
        <w:tab/>
        <w:t>0</w:t>
      </w:r>
    </w:p>
    <w:p w14:paraId="6C180107" w14:textId="3E05ED20" w:rsidR="00515BA3" w:rsidRDefault="00515BA3" w:rsidP="00515BA3">
      <w:r>
        <w:t>Ostali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48.000</w:t>
      </w:r>
      <w:r>
        <w:tab/>
      </w:r>
      <w:r>
        <w:tab/>
        <w:t>0</w:t>
      </w:r>
      <w:r>
        <w:tab/>
      </w:r>
      <w:r>
        <w:tab/>
        <w:t>0</w:t>
      </w:r>
    </w:p>
    <w:p w14:paraId="5BAC657C" w14:textId="0C77216C" w:rsidR="00735797" w:rsidRDefault="00735797" w:rsidP="00735797">
      <w:r>
        <w:t>Prihodi za posebne namjene</w:t>
      </w:r>
      <w:r>
        <w:tab/>
      </w:r>
      <w:r>
        <w:tab/>
      </w:r>
      <w:r>
        <w:tab/>
      </w:r>
      <w:r>
        <w:tab/>
      </w:r>
      <w:r>
        <w:tab/>
      </w:r>
      <w:r w:rsidR="00515BA3">
        <w:t>48</w:t>
      </w:r>
      <w:r>
        <w:t>.000</w:t>
      </w:r>
      <w:r>
        <w:tab/>
      </w:r>
      <w:r>
        <w:tab/>
        <w:t>0</w:t>
      </w:r>
      <w:r>
        <w:tab/>
      </w:r>
      <w:r>
        <w:tab/>
        <w:t>0</w:t>
      </w:r>
    </w:p>
    <w:p w14:paraId="79A243F0" w14:textId="79797DAA" w:rsidR="005746B0" w:rsidRDefault="00CC332E" w:rsidP="00735797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</w:rPr>
        <w:t xml:space="preserve">Ovim programom sredstava su predviđena za nadogradnju kanalizacijskog kolektora obuhvaćenog projektom Aglomeracija. Projektom Aglomeracija nije bilo moguće obuhvatit sve stambene objekte u naseljima gdje se realizira pa se stoga taj problem planira rješavati izgradnjom novih sekundarnih linija. </w:t>
      </w:r>
      <w:r w:rsidR="005746B0" w:rsidRPr="005746B0">
        <w:rPr>
          <w:b/>
          <w:bCs/>
        </w:rPr>
        <w:t xml:space="preserve">Ovaj program se odnosi na zahvat izgradnje </w:t>
      </w:r>
      <w:r w:rsidR="00E52DE7">
        <w:rPr>
          <w:b/>
          <w:bCs/>
        </w:rPr>
        <w:t>sekundarnih kanalizacijskih linija u naseljima Grab, Vedrine i Košute</w:t>
      </w:r>
      <w:r w:rsidR="005746B0" w:rsidRPr="005746B0">
        <w:rPr>
          <w:b/>
          <w:bCs/>
        </w:rPr>
        <w:t>.</w:t>
      </w:r>
    </w:p>
    <w:p w14:paraId="7F700C16" w14:textId="77777777" w:rsidR="00E52DE7" w:rsidRDefault="00E52DE7" w:rsidP="00E52DE7"/>
    <w:p w14:paraId="088C9444" w14:textId="77777777" w:rsidR="00E52DE7" w:rsidRDefault="00E52DE7" w:rsidP="00E52DE7">
      <w:pPr>
        <w:jc w:val="right"/>
      </w:pPr>
      <w:r>
        <w:tab/>
      </w: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1420BA51" w14:textId="2536055B" w:rsidR="00E52DE7" w:rsidRDefault="00E52DE7" w:rsidP="00E52DE7">
      <w:pPr>
        <w:rPr>
          <w:b/>
          <w:bCs/>
          <w:sz w:val="24"/>
          <w:szCs w:val="24"/>
        </w:rPr>
      </w:pPr>
      <w:r w:rsidRPr="00735797">
        <w:rPr>
          <w:b/>
          <w:bCs/>
          <w:sz w:val="24"/>
          <w:szCs w:val="24"/>
        </w:rPr>
        <w:t xml:space="preserve">Izgradnja </w:t>
      </w:r>
      <w:r>
        <w:rPr>
          <w:b/>
          <w:bCs/>
          <w:sz w:val="24"/>
          <w:szCs w:val="24"/>
        </w:rPr>
        <w:t xml:space="preserve">sekundarne kanalizacijske mreže </w:t>
      </w:r>
    </w:p>
    <w:p w14:paraId="46985F16" w14:textId="023BF1DB" w:rsidR="00E52DE7" w:rsidRDefault="004322CF" w:rsidP="00E52DE7">
      <w:r>
        <w:rPr>
          <w:b/>
          <w:bCs/>
          <w:sz w:val="24"/>
          <w:szCs w:val="24"/>
        </w:rPr>
        <w:t>u</w:t>
      </w:r>
      <w:r w:rsidR="00E52DE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Trilju – Bila Glavica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52DE7">
        <w:rPr>
          <w:b/>
          <w:bCs/>
          <w:sz w:val="24"/>
          <w:szCs w:val="24"/>
        </w:rPr>
        <w:tab/>
      </w:r>
      <w:r w:rsidR="00E52DE7">
        <w:rPr>
          <w:b/>
          <w:bCs/>
          <w:sz w:val="24"/>
          <w:szCs w:val="24"/>
        </w:rPr>
        <w:tab/>
      </w:r>
      <w:r w:rsidR="00E52DE7">
        <w:rPr>
          <w:b/>
          <w:bCs/>
          <w:sz w:val="24"/>
          <w:szCs w:val="24"/>
        </w:rPr>
        <w:tab/>
      </w:r>
      <w:r w:rsidR="00E52DE7">
        <w:tab/>
      </w:r>
      <w:r>
        <w:t>50</w:t>
      </w:r>
      <w:r w:rsidR="00E52DE7">
        <w:t>.000</w:t>
      </w:r>
      <w:r w:rsidR="00E52DE7">
        <w:tab/>
      </w:r>
      <w:r w:rsidR="00E52DE7">
        <w:tab/>
        <w:t>0</w:t>
      </w:r>
      <w:r w:rsidR="00E52DE7">
        <w:tab/>
      </w:r>
      <w:r w:rsidR="00E52DE7">
        <w:tab/>
        <w:t>0</w:t>
      </w:r>
    </w:p>
    <w:p w14:paraId="5E84A888" w14:textId="6857B259" w:rsidR="00E52DE7" w:rsidRDefault="00E52DE7" w:rsidP="00E52DE7">
      <w:r>
        <w:t>Rashodi poslovanja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2CF">
        <w:t>50</w:t>
      </w:r>
      <w:r>
        <w:t>.000</w:t>
      </w:r>
      <w:r>
        <w:tab/>
      </w:r>
      <w:r>
        <w:tab/>
        <w:t>0</w:t>
      </w:r>
      <w:r>
        <w:tab/>
      </w:r>
      <w:r>
        <w:tab/>
        <w:t>0</w:t>
      </w:r>
    </w:p>
    <w:p w14:paraId="43D35DE0" w14:textId="467AF920" w:rsidR="002A176A" w:rsidRDefault="002A176A" w:rsidP="002A176A">
      <w:r>
        <w:t>Ostali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50.000</w:t>
      </w:r>
      <w:r>
        <w:tab/>
      </w:r>
      <w:r>
        <w:tab/>
        <w:t>0</w:t>
      </w:r>
      <w:r>
        <w:tab/>
      </w:r>
      <w:r>
        <w:tab/>
        <w:t>0</w:t>
      </w:r>
    </w:p>
    <w:p w14:paraId="22424592" w14:textId="5A75121E" w:rsidR="00E52DE7" w:rsidRDefault="004322CF" w:rsidP="00E52DE7">
      <w:r>
        <w:t>Pomoći</w:t>
      </w:r>
      <w:r>
        <w:tab/>
      </w:r>
      <w:r>
        <w:tab/>
      </w:r>
      <w:r>
        <w:tab/>
      </w:r>
      <w:r w:rsidR="00E52DE7">
        <w:tab/>
      </w:r>
      <w:r w:rsidR="00E52DE7">
        <w:tab/>
      </w:r>
      <w:r w:rsidR="00E52DE7">
        <w:tab/>
      </w:r>
      <w:r w:rsidR="00E52DE7">
        <w:tab/>
      </w:r>
      <w:r w:rsidR="00E52DE7">
        <w:tab/>
      </w:r>
      <w:r>
        <w:t>5</w:t>
      </w:r>
      <w:r w:rsidR="00E52DE7">
        <w:t>0.000</w:t>
      </w:r>
      <w:r w:rsidR="00E52DE7">
        <w:tab/>
      </w:r>
      <w:r w:rsidR="00E52DE7">
        <w:tab/>
        <w:t>0</w:t>
      </w:r>
      <w:r w:rsidR="00E52DE7">
        <w:tab/>
      </w:r>
      <w:r w:rsidR="00E52DE7">
        <w:tab/>
        <w:t>0</w:t>
      </w:r>
    </w:p>
    <w:p w14:paraId="6908AEF2" w14:textId="49BBADE5" w:rsidR="00E52DE7" w:rsidRDefault="00E52DE7" w:rsidP="00E52DE7">
      <w:pPr>
        <w:rPr>
          <w:b/>
          <w:bCs/>
        </w:rPr>
      </w:pPr>
      <w:r w:rsidRPr="005746B0">
        <w:rPr>
          <w:b/>
          <w:bCs/>
        </w:rPr>
        <w:t xml:space="preserve">Ovaj program se odnosi na zahvat izgradnje </w:t>
      </w:r>
      <w:r w:rsidR="004322CF">
        <w:rPr>
          <w:b/>
          <w:bCs/>
        </w:rPr>
        <w:t>sekundarne kanalizacijske mreže u Trilju – Bila glavica.</w:t>
      </w:r>
    </w:p>
    <w:p w14:paraId="26B283DB" w14:textId="77777777" w:rsidR="007B0D90" w:rsidRPr="005746B0" w:rsidRDefault="007B0D90" w:rsidP="00384CF8">
      <w:pPr>
        <w:rPr>
          <w:b/>
          <w:bCs/>
        </w:rPr>
      </w:pPr>
    </w:p>
    <w:p w14:paraId="6E2C5E99" w14:textId="65E901D2" w:rsidR="00384CF8" w:rsidRDefault="00384CF8" w:rsidP="00384CF8">
      <w:pPr>
        <w:jc w:val="right"/>
      </w:pPr>
      <w:r>
        <w:tab/>
      </w:r>
      <w:r w:rsidRPr="007B0D90">
        <w:rPr>
          <w:sz w:val="20"/>
          <w:szCs w:val="20"/>
        </w:rPr>
        <w:t>Proračun 202</w:t>
      </w:r>
      <w:r w:rsidR="00444A7D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444A7D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444A7D">
        <w:rPr>
          <w:sz w:val="20"/>
          <w:szCs w:val="20"/>
        </w:rPr>
        <w:t>7</w:t>
      </w:r>
      <w:r>
        <w:t>.</w:t>
      </w:r>
    </w:p>
    <w:p w14:paraId="30DE34FA" w14:textId="71BBAB4A" w:rsidR="00384CF8" w:rsidRDefault="00384CF8" w:rsidP="00384CF8">
      <w:r w:rsidRPr="00384CF8">
        <w:rPr>
          <w:b/>
          <w:bCs/>
          <w:sz w:val="24"/>
          <w:szCs w:val="24"/>
        </w:rPr>
        <w:t>Izgradnja i proširenje groblja</w:t>
      </w:r>
      <w:r>
        <w:tab/>
      </w:r>
      <w:r>
        <w:tab/>
      </w:r>
      <w:r>
        <w:tab/>
      </w:r>
      <w:r>
        <w:tab/>
      </w:r>
      <w:r w:rsidR="005A2630">
        <w:t>5</w:t>
      </w:r>
      <w:r w:rsidR="00C43EAD">
        <w:t>35.000</w:t>
      </w:r>
      <w:r>
        <w:tab/>
      </w:r>
      <w:r w:rsidR="00C43EAD">
        <w:t>1.000</w:t>
      </w:r>
      <w:r>
        <w:t>.000</w:t>
      </w:r>
      <w:r>
        <w:tab/>
      </w:r>
      <w:r w:rsidR="00C43EAD">
        <w:t>1.000.000</w:t>
      </w:r>
      <w:r>
        <w:tab/>
      </w:r>
    </w:p>
    <w:p w14:paraId="57A32A65" w14:textId="78CB4F84" w:rsidR="00384CF8" w:rsidRDefault="00384CF8" w:rsidP="00384CF8">
      <w:r>
        <w:t>Rashodi poslovanja</w:t>
      </w:r>
      <w:r>
        <w:tab/>
      </w:r>
      <w:r>
        <w:tab/>
      </w:r>
      <w:r>
        <w:tab/>
      </w:r>
      <w:r>
        <w:tab/>
      </w:r>
      <w:r>
        <w:tab/>
      </w:r>
      <w:r>
        <w:tab/>
        <w:t>3.000</w:t>
      </w:r>
      <w:r>
        <w:tab/>
      </w:r>
      <w:r>
        <w:tab/>
      </w:r>
      <w:r w:rsidR="00D63B55">
        <w:t>0</w:t>
      </w:r>
      <w:r>
        <w:tab/>
      </w:r>
      <w:r>
        <w:tab/>
      </w:r>
      <w:r w:rsidR="00D63B55">
        <w:t>0</w:t>
      </w:r>
    </w:p>
    <w:p w14:paraId="299E3AC9" w14:textId="6CA3D3B9" w:rsidR="00384CF8" w:rsidRDefault="00384CF8" w:rsidP="00384CF8">
      <w:r>
        <w:t>Materijalni rashodi</w:t>
      </w:r>
      <w:r>
        <w:tab/>
      </w:r>
      <w:r>
        <w:tab/>
      </w:r>
      <w:r>
        <w:tab/>
      </w:r>
      <w:r>
        <w:tab/>
      </w:r>
      <w:r>
        <w:tab/>
      </w:r>
      <w:r>
        <w:tab/>
        <w:t>3.000</w:t>
      </w:r>
      <w:r>
        <w:tab/>
      </w:r>
      <w:r>
        <w:tab/>
      </w:r>
      <w:r w:rsidR="00D63B55">
        <w:t>0</w:t>
      </w:r>
      <w:r>
        <w:tab/>
      </w:r>
      <w:r>
        <w:tab/>
      </w:r>
      <w:r w:rsidR="00D63B55">
        <w:t>0</w:t>
      </w:r>
    </w:p>
    <w:p w14:paraId="3641FF8C" w14:textId="21D9FDA0" w:rsidR="00384CF8" w:rsidRDefault="00384CF8" w:rsidP="00384CF8">
      <w:r>
        <w:lastRenderedPageBreak/>
        <w:t>Opći prihodi i primici</w:t>
      </w:r>
      <w:r>
        <w:tab/>
      </w:r>
      <w:r>
        <w:tab/>
      </w:r>
      <w:r>
        <w:tab/>
      </w:r>
      <w:r>
        <w:tab/>
      </w:r>
      <w:r>
        <w:tab/>
      </w:r>
      <w:r>
        <w:tab/>
        <w:t>3.000</w:t>
      </w:r>
      <w:r>
        <w:tab/>
      </w:r>
      <w:r>
        <w:tab/>
      </w:r>
      <w:r w:rsidR="00D63B55">
        <w:t>0</w:t>
      </w:r>
      <w:r>
        <w:tab/>
      </w:r>
      <w:r>
        <w:tab/>
      </w:r>
      <w:r w:rsidR="00D63B55">
        <w:t>0</w:t>
      </w:r>
    </w:p>
    <w:p w14:paraId="1CF55F20" w14:textId="57BB48ED" w:rsidR="00384CF8" w:rsidRDefault="00384CF8" w:rsidP="00384CF8">
      <w:r>
        <w:t>Rashodi za nabavu nefinancijske imovine</w:t>
      </w:r>
      <w:r>
        <w:tab/>
      </w:r>
      <w:r>
        <w:tab/>
      </w:r>
      <w:r>
        <w:tab/>
      </w:r>
      <w:r w:rsidR="008C26AD">
        <w:t>5</w:t>
      </w:r>
      <w:r w:rsidR="00D63B55">
        <w:t>32</w:t>
      </w:r>
      <w:r>
        <w:t>.000</w:t>
      </w:r>
      <w:r w:rsidR="00D63B55">
        <w:t xml:space="preserve">      1.000.000</w:t>
      </w:r>
      <w:r w:rsidR="00D63B55">
        <w:tab/>
        <w:t xml:space="preserve">  1.000.000</w:t>
      </w:r>
    </w:p>
    <w:p w14:paraId="0C4F0A1F" w14:textId="6027FCAD" w:rsidR="00384CF8" w:rsidRDefault="00384CF8" w:rsidP="00384CF8">
      <w:r>
        <w:t xml:space="preserve">Rashodi za nabavu </w:t>
      </w:r>
      <w:proofErr w:type="spellStart"/>
      <w:r>
        <w:t>neproizvedene</w:t>
      </w:r>
      <w:proofErr w:type="spellEnd"/>
      <w:r>
        <w:t xml:space="preserve"> dugotrajne imovine</w:t>
      </w:r>
      <w:r>
        <w:tab/>
      </w:r>
      <w:r>
        <w:tab/>
        <w:t>100.000</w:t>
      </w:r>
      <w:r>
        <w:tab/>
        <w:t>0</w:t>
      </w:r>
      <w:r>
        <w:tab/>
      </w:r>
      <w:r>
        <w:tab/>
        <w:t>0</w:t>
      </w:r>
    </w:p>
    <w:p w14:paraId="4F440347" w14:textId="1CF477E9" w:rsidR="00384CF8" w:rsidRDefault="00384CF8" w:rsidP="00384CF8">
      <w:r>
        <w:t xml:space="preserve">Prihodi od prodaje proizvedene dugotrajne imovine </w:t>
      </w:r>
      <w:r>
        <w:tab/>
      </w:r>
      <w:r>
        <w:tab/>
        <w:t>100.000</w:t>
      </w:r>
      <w:r>
        <w:tab/>
        <w:t>0</w:t>
      </w:r>
      <w:r>
        <w:tab/>
      </w:r>
      <w:r>
        <w:tab/>
        <w:t>0</w:t>
      </w:r>
    </w:p>
    <w:p w14:paraId="410A87DD" w14:textId="7599B029" w:rsidR="00444A7D" w:rsidRDefault="00384CF8" w:rsidP="00384CF8">
      <w:r>
        <w:t>Rashodi za nabavu proizvedene dugotrajne imovine</w:t>
      </w:r>
      <w:r>
        <w:tab/>
      </w:r>
      <w:r w:rsidR="00444A7D">
        <w:tab/>
        <w:t>157.000      1.000.000</w:t>
      </w:r>
      <w:r w:rsidR="00444A7D">
        <w:tab/>
        <w:t xml:space="preserve">  1.000.000</w:t>
      </w:r>
    </w:p>
    <w:p w14:paraId="21B01BCE" w14:textId="29807B65" w:rsidR="00384CF8" w:rsidRDefault="00384CF8" w:rsidP="00384CF8">
      <w:r>
        <w:t>Rashodi za nabavu proizvedene dugotrajne imovine - Grab</w:t>
      </w:r>
      <w:r>
        <w:tab/>
        <w:t>66.500</w:t>
      </w:r>
      <w:r>
        <w:tab/>
        <w:t>0</w:t>
      </w:r>
      <w:r>
        <w:tab/>
        <w:t>0</w:t>
      </w:r>
      <w:r>
        <w:tab/>
      </w:r>
      <w:r>
        <w:tab/>
        <w:t>0</w:t>
      </w:r>
    </w:p>
    <w:p w14:paraId="7C27807A" w14:textId="2984F1EA" w:rsidR="00384CF8" w:rsidRDefault="00384CF8" w:rsidP="00384CF8">
      <w:r>
        <w:t xml:space="preserve">Rashodi za nabavu proizvedene dugotrajne imovine - </w:t>
      </w:r>
      <w:proofErr w:type="spellStart"/>
      <w:r>
        <w:t>Tijarica</w:t>
      </w:r>
      <w:proofErr w:type="spellEnd"/>
      <w:r>
        <w:tab/>
        <w:t>66.500</w:t>
      </w:r>
      <w:r>
        <w:tab/>
        <w:t>0</w:t>
      </w:r>
      <w:r>
        <w:tab/>
        <w:t>0</w:t>
      </w:r>
      <w:r>
        <w:tab/>
      </w:r>
      <w:r>
        <w:tab/>
        <w:t>0</w:t>
      </w:r>
    </w:p>
    <w:p w14:paraId="3ADA034E" w14:textId="3DD546AB" w:rsidR="000A30E0" w:rsidRDefault="00384CF8">
      <w:r>
        <w:t xml:space="preserve">Rashodi za nabavu proizvedene dugotrajne imovine </w:t>
      </w:r>
      <w:r w:rsidR="000A30E0">
        <w:t>–</w:t>
      </w:r>
      <w:r>
        <w:t xml:space="preserve"> Košute</w:t>
      </w:r>
    </w:p>
    <w:p w14:paraId="1278D5F0" w14:textId="06744AEA" w:rsidR="00384CF8" w:rsidRDefault="00384CF8" w:rsidP="00384CF8">
      <w:r>
        <w:t xml:space="preserve"> (projekt)</w:t>
      </w:r>
      <w:r>
        <w:tab/>
      </w:r>
      <w:r w:rsidR="000A30E0">
        <w:tab/>
      </w:r>
      <w:r w:rsidR="000A30E0">
        <w:tab/>
      </w:r>
      <w:r w:rsidR="000A30E0">
        <w:tab/>
      </w:r>
      <w:r w:rsidR="000A30E0">
        <w:tab/>
      </w:r>
      <w:r w:rsidR="000A30E0">
        <w:tab/>
      </w:r>
      <w:r w:rsidR="000A30E0">
        <w:tab/>
      </w:r>
      <w:r>
        <w:t>24.000</w:t>
      </w:r>
      <w:r w:rsidR="000A30E0">
        <w:tab/>
      </w:r>
      <w:r>
        <w:tab/>
        <w:t>0</w:t>
      </w:r>
      <w:r>
        <w:tab/>
      </w:r>
      <w:r>
        <w:tab/>
        <w:t>0</w:t>
      </w:r>
    </w:p>
    <w:p w14:paraId="12C1747D" w14:textId="77777777" w:rsidR="00A36BBE" w:rsidRDefault="00A36BBE" w:rsidP="00A36BBE">
      <w:r>
        <w:t>Rashodi za nabavu proizvedene dugotrajne imovine – Košute</w:t>
      </w:r>
    </w:p>
    <w:p w14:paraId="229EA03A" w14:textId="7C4AE7C8" w:rsidR="00A36BBE" w:rsidRDefault="00A36BBE" w:rsidP="00A36BBE">
      <w:r>
        <w:t xml:space="preserve"> (proširenje groblja)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  <w:t>1.000.000</w:t>
      </w:r>
      <w:r>
        <w:tab/>
        <w:t>1.000.000</w:t>
      </w:r>
    </w:p>
    <w:p w14:paraId="57F0B641" w14:textId="76AEE380" w:rsidR="00384CF8" w:rsidRDefault="00384CF8" w:rsidP="00384CF8">
      <w:r>
        <w:t>Prihodi za posebne namjene</w:t>
      </w:r>
      <w:r>
        <w:tab/>
      </w:r>
      <w:r>
        <w:tab/>
      </w:r>
      <w:r>
        <w:tab/>
      </w:r>
      <w:r>
        <w:tab/>
      </w:r>
      <w:r>
        <w:tab/>
      </w:r>
      <w:r w:rsidR="00A36BBE">
        <w:t>0</w:t>
      </w:r>
      <w:r>
        <w:tab/>
      </w:r>
      <w:r w:rsidR="0001177A">
        <w:t xml:space="preserve">    </w:t>
      </w:r>
      <w:r w:rsidR="00A36BBE">
        <w:t>118.500</w:t>
      </w:r>
      <w:r>
        <w:tab/>
      </w:r>
      <w:r w:rsidR="0001177A">
        <w:t xml:space="preserve">    </w:t>
      </w:r>
      <w:r w:rsidR="00A36BBE">
        <w:t>201.500</w:t>
      </w:r>
    </w:p>
    <w:p w14:paraId="1812B27E" w14:textId="177F7B85" w:rsidR="0001177A" w:rsidRDefault="0001177A" w:rsidP="0001177A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100.000</w:t>
      </w:r>
      <w:r>
        <w:tab/>
        <w:t xml:space="preserve">    731.500</w:t>
      </w:r>
      <w:r>
        <w:tab/>
        <w:t xml:space="preserve">    148.500</w:t>
      </w:r>
    </w:p>
    <w:p w14:paraId="488CBE4B" w14:textId="4DB2622B" w:rsidR="00384CF8" w:rsidRDefault="00384CF8" w:rsidP="00384CF8">
      <w:r>
        <w:t xml:space="preserve">Prihodi od prodaje </w:t>
      </w:r>
      <w:proofErr w:type="spellStart"/>
      <w:r>
        <w:t>neproizvedene</w:t>
      </w:r>
      <w:proofErr w:type="spellEnd"/>
      <w:r>
        <w:t xml:space="preserve"> dugotrajne imovine</w:t>
      </w:r>
      <w:r>
        <w:tab/>
      </w:r>
      <w:r>
        <w:tab/>
      </w:r>
      <w:r w:rsidR="0001177A">
        <w:t>0</w:t>
      </w:r>
      <w:r>
        <w:tab/>
      </w:r>
      <w:r w:rsidR="006A1453">
        <w:t xml:space="preserve">    </w:t>
      </w:r>
      <w:r w:rsidR="0001177A">
        <w:t>150.000</w:t>
      </w:r>
      <w:r>
        <w:tab/>
      </w:r>
      <w:r w:rsidR="0001177A">
        <w:t xml:space="preserve">    15</w:t>
      </w:r>
      <w:r>
        <w:t>0</w:t>
      </w:r>
      <w:r w:rsidR="0001177A">
        <w:t>.000</w:t>
      </w:r>
    </w:p>
    <w:p w14:paraId="06F0BCA5" w14:textId="755F7CBF" w:rsidR="00D90331" w:rsidRDefault="00D90331" w:rsidP="00D90331">
      <w:r>
        <w:t>Prihodi od prodaje proizvedene dugotrajne imovine</w:t>
      </w:r>
      <w:r>
        <w:tab/>
      </w:r>
      <w:r>
        <w:tab/>
      </w:r>
      <w:r w:rsidR="006A1453">
        <w:t>57.000</w:t>
      </w:r>
      <w:r>
        <w:tab/>
      </w:r>
      <w:r w:rsidR="006A1453">
        <w:tab/>
        <w:t>0</w:t>
      </w:r>
      <w:r>
        <w:tab/>
        <w:t xml:space="preserve">    </w:t>
      </w:r>
      <w:r w:rsidR="006A1453">
        <w:t>50</w:t>
      </w:r>
      <w:r>
        <w:t>0.000</w:t>
      </w:r>
    </w:p>
    <w:p w14:paraId="5A6D258D" w14:textId="7F46E7B4" w:rsidR="00384CF8" w:rsidRDefault="00384CF8" w:rsidP="00384CF8">
      <w:r>
        <w:t>Rashodi za dodatna ulaganja na nefinancijskoj imovini</w:t>
      </w:r>
      <w:r>
        <w:tab/>
      </w:r>
      <w:r>
        <w:tab/>
      </w:r>
      <w:r w:rsidR="008C3787">
        <w:t>2</w:t>
      </w:r>
      <w:r w:rsidR="00E53CB9">
        <w:t>75</w:t>
      </w:r>
      <w:r>
        <w:t>.000</w:t>
      </w:r>
      <w:r>
        <w:tab/>
        <w:t>0</w:t>
      </w:r>
      <w:r>
        <w:tab/>
      </w:r>
      <w:r>
        <w:tab/>
        <w:t>0</w:t>
      </w:r>
    </w:p>
    <w:p w14:paraId="33DAFC38" w14:textId="77777777" w:rsidR="000A30E0" w:rsidRDefault="00384CF8" w:rsidP="00384CF8">
      <w:r>
        <w:t xml:space="preserve">Dodatna ulaganja na građevinskim objektima - Košute </w:t>
      </w:r>
    </w:p>
    <w:p w14:paraId="2846780D" w14:textId="17A5AF4A" w:rsidR="00384CF8" w:rsidRDefault="00384CF8" w:rsidP="00384CF8">
      <w:r>
        <w:t>(grobnice)</w:t>
      </w:r>
      <w:r w:rsidR="000A30E0">
        <w:tab/>
      </w:r>
      <w:r w:rsidR="000A30E0">
        <w:tab/>
      </w:r>
      <w:r w:rsidR="000A30E0">
        <w:tab/>
      </w:r>
      <w:r w:rsidR="000A30E0">
        <w:tab/>
      </w:r>
      <w:r w:rsidR="000A30E0">
        <w:tab/>
      </w:r>
      <w:r w:rsidR="000A30E0">
        <w:tab/>
      </w:r>
      <w:r w:rsidR="000A30E0">
        <w:tab/>
      </w:r>
      <w:r w:rsidR="00E53CB9">
        <w:t>1</w:t>
      </w:r>
      <w:r>
        <w:t>00.000</w:t>
      </w:r>
      <w:r>
        <w:tab/>
        <w:t>0</w:t>
      </w:r>
      <w:r>
        <w:tab/>
      </w:r>
      <w:r>
        <w:tab/>
        <w:t>0</w:t>
      </w:r>
    </w:p>
    <w:p w14:paraId="32785ECB" w14:textId="06CA1912" w:rsidR="00384CF8" w:rsidRDefault="00384CF8" w:rsidP="00384CF8">
      <w:r>
        <w:t>Dodatna ulaganja na građevinskim objektima - Trilj (grobnice)</w:t>
      </w:r>
      <w:r>
        <w:tab/>
      </w:r>
      <w:r w:rsidR="008C3787">
        <w:t>1</w:t>
      </w:r>
      <w:r w:rsidR="00E53CB9">
        <w:t>6</w:t>
      </w:r>
      <w:r>
        <w:t>0.000</w:t>
      </w:r>
      <w:r w:rsidR="00E53CB9">
        <w:tab/>
      </w:r>
      <w:r>
        <w:t>0</w:t>
      </w:r>
      <w:r>
        <w:tab/>
      </w:r>
      <w:r>
        <w:tab/>
        <w:t>0</w:t>
      </w:r>
    </w:p>
    <w:p w14:paraId="4ED963F1" w14:textId="1B8E9263" w:rsidR="00384CF8" w:rsidRDefault="00384CF8" w:rsidP="00384CF8">
      <w:r>
        <w:t xml:space="preserve">Dodatna ulaganja na građevinskim objektima - </w:t>
      </w:r>
      <w:r w:rsidR="00E53CB9">
        <w:t>Voštane</w:t>
      </w:r>
      <w:r>
        <w:tab/>
      </w:r>
      <w:r>
        <w:tab/>
      </w:r>
      <w:r w:rsidR="00E53CB9">
        <w:t>15</w:t>
      </w:r>
      <w:r>
        <w:t>.000</w:t>
      </w:r>
      <w:r>
        <w:tab/>
      </w:r>
      <w:r>
        <w:tab/>
        <w:t>0</w:t>
      </w:r>
      <w:r>
        <w:tab/>
      </w:r>
      <w:r>
        <w:tab/>
        <w:t>0</w:t>
      </w:r>
    </w:p>
    <w:p w14:paraId="4407F642" w14:textId="6AE3237E" w:rsidR="00384CF8" w:rsidRDefault="00384CF8" w:rsidP="00384CF8">
      <w:r>
        <w:t>Prihodi od prodaje proizvedene dugotrajne imovine</w:t>
      </w:r>
      <w:r>
        <w:tab/>
      </w:r>
      <w:r>
        <w:tab/>
      </w:r>
      <w:r w:rsidR="008C3787">
        <w:t>1</w:t>
      </w:r>
      <w:r w:rsidR="00E53CB9">
        <w:t>73</w:t>
      </w:r>
      <w:r>
        <w:t>.000</w:t>
      </w:r>
      <w:r>
        <w:tab/>
        <w:t>0</w:t>
      </w:r>
      <w:r>
        <w:tab/>
      </w:r>
      <w:r>
        <w:tab/>
        <w:t>0</w:t>
      </w:r>
    </w:p>
    <w:p w14:paraId="1C7D8452" w14:textId="16889A6D" w:rsidR="00E53CB9" w:rsidRDefault="00E53CB9" w:rsidP="00384CF8">
      <w:r>
        <w:t>Prihodi za posebne namjene</w:t>
      </w:r>
      <w:r w:rsidR="00431705">
        <w:tab/>
      </w:r>
      <w:r w:rsidR="00431705">
        <w:tab/>
      </w:r>
      <w:r w:rsidR="00431705">
        <w:tab/>
      </w:r>
      <w:r w:rsidR="00431705">
        <w:tab/>
      </w:r>
      <w:r w:rsidR="00431705">
        <w:tab/>
        <w:t>102.000</w:t>
      </w:r>
      <w:r w:rsidR="00431705">
        <w:tab/>
        <w:t>0</w:t>
      </w:r>
      <w:r w:rsidR="00431705">
        <w:tab/>
      </w:r>
      <w:r w:rsidR="00431705">
        <w:tab/>
        <w:t>0</w:t>
      </w:r>
    </w:p>
    <w:p w14:paraId="2DC0645C" w14:textId="6D8A3ABA" w:rsidR="000A30E0" w:rsidRDefault="000A30E0" w:rsidP="00384CF8">
      <w:pPr>
        <w:rPr>
          <w:b/>
          <w:bCs/>
        </w:rPr>
      </w:pPr>
      <w:r w:rsidRPr="000A30E0">
        <w:rPr>
          <w:b/>
          <w:bCs/>
        </w:rPr>
        <w:t xml:space="preserve">Programom se planira </w:t>
      </w:r>
      <w:r w:rsidR="00431705">
        <w:rPr>
          <w:b/>
          <w:bCs/>
        </w:rPr>
        <w:t>gradnja</w:t>
      </w:r>
      <w:r w:rsidRPr="000A30E0">
        <w:rPr>
          <w:b/>
          <w:bCs/>
        </w:rPr>
        <w:t xml:space="preserve"> proširenja groblja Grab i </w:t>
      </w:r>
      <w:proofErr w:type="spellStart"/>
      <w:r w:rsidRPr="000A30E0">
        <w:rPr>
          <w:b/>
          <w:bCs/>
        </w:rPr>
        <w:t>Tijarica</w:t>
      </w:r>
      <w:proofErr w:type="spellEnd"/>
      <w:r w:rsidRPr="000A30E0">
        <w:rPr>
          <w:b/>
          <w:bCs/>
        </w:rPr>
        <w:t xml:space="preserve">. Planira se i rješavanje imovinsko-pravnih odnosa i projektne dokumentacije za proširenje groblja u naselju </w:t>
      </w:r>
      <w:proofErr w:type="spellStart"/>
      <w:r w:rsidRPr="000A30E0">
        <w:rPr>
          <w:b/>
          <w:bCs/>
        </w:rPr>
        <w:t>Košute</w:t>
      </w:r>
      <w:r>
        <w:rPr>
          <w:b/>
          <w:bCs/>
        </w:rPr>
        <w:t>.</w:t>
      </w:r>
      <w:r w:rsidRPr="000A30E0">
        <w:rPr>
          <w:b/>
          <w:bCs/>
        </w:rPr>
        <w:t>Progr</w:t>
      </w:r>
      <w:r w:rsidR="00431705">
        <w:rPr>
          <w:b/>
          <w:bCs/>
        </w:rPr>
        <w:t>a</w:t>
      </w:r>
      <w:r w:rsidRPr="000A30E0">
        <w:rPr>
          <w:b/>
          <w:bCs/>
        </w:rPr>
        <w:t>ma</w:t>
      </w:r>
      <w:proofErr w:type="spellEnd"/>
      <w:r w:rsidR="00431705">
        <w:rPr>
          <w:b/>
          <w:bCs/>
        </w:rPr>
        <w:t xml:space="preserve"> </w:t>
      </w:r>
      <w:r w:rsidRPr="000A30E0">
        <w:rPr>
          <w:b/>
          <w:bCs/>
        </w:rPr>
        <w:t xml:space="preserve">predviđa i gradnju novih grobnih mjesta unutar postojećih groblja u Trilju i Košutama. </w:t>
      </w:r>
    </w:p>
    <w:p w14:paraId="59D10037" w14:textId="77777777" w:rsidR="00431705" w:rsidRDefault="00431705" w:rsidP="00384CF8">
      <w:pPr>
        <w:rPr>
          <w:b/>
          <w:bCs/>
        </w:rPr>
      </w:pPr>
    </w:p>
    <w:p w14:paraId="36714D20" w14:textId="24F42205" w:rsidR="00384CF8" w:rsidRPr="007B0D90" w:rsidRDefault="00384CF8" w:rsidP="00384CF8">
      <w:pPr>
        <w:jc w:val="right"/>
        <w:rPr>
          <w:sz w:val="20"/>
          <w:szCs w:val="20"/>
        </w:rPr>
      </w:pPr>
      <w:r>
        <w:tab/>
      </w:r>
      <w:r w:rsidRPr="007B0D90">
        <w:rPr>
          <w:sz w:val="20"/>
          <w:szCs w:val="20"/>
        </w:rPr>
        <w:t>Proračun 202</w:t>
      </w:r>
      <w:r w:rsidR="00431705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431705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431705"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67A30397" w14:textId="1F984A65" w:rsidR="00384CF8" w:rsidRDefault="00384CF8" w:rsidP="00384CF8">
      <w:r w:rsidRPr="00384CF8">
        <w:rPr>
          <w:b/>
          <w:bCs/>
          <w:sz w:val="24"/>
          <w:szCs w:val="24"/>
        </w:rPr>
        <w:t>Izgradnja mrtvačnica</w:t>
      </w:r>
      <w:r>
        <w:tab/>
      </w:r>
      <w:r>
        <w:tab/>
      </w:r>
      <w:r>
        <w:tab/>
      </w:r>
      <w:r>
        <w:tab/>
      </w:r>
      <w:r>
        <w:tab/>
        <w:t>14</w:t>
      </w:r>
      <w:r w:rsidR="00431705">
        <w:t>2</w:t>
      </w:r>
      <w:r>
        <w:t>.</w:t>
      </w:r>
      <w:r w:rsidR="00431705">
        <w:t>0</w:t>
      </w:r>
      <w:r>
        <w:t>00</w:t>
      </w:r>
      <w:r>
        <w:tab/>
      </w:r>
      <w:r w:rsidR="004A3C92">
        <w:t xml:space="preserve"> 15.00</w:t>
      </w:r>
      <w:r>
        <w:t>0</w:t>
      </w:r>
      <w:r>
        <w:tab/>
      </w:r>
      <w:r>
        <w:tab/>
      </w:r>
      <w:r w:rsidR="004A3C92">
        <w:t>15.00</w:t>
      </w:r>
      <w:r>
        <w:t>0</w:t>
      </w:r>
    </w:p>
    <w:p w14:paraId="73CD9B6F" w14:textId="76CF6164" w:rsidR="00384CF8" w:rsidRDefault="00384CF8" w:rsidP="00384CF8">
      <w:r>
        <w:t>Rashodi za nabavu nefinancijske imovine</w:t>
      </w:r>
      <w:r>
        <w:tab/>
      </w:r>
      <w:r>
        <w:tab/>
      </w:r>
      <w:r w:rsidR="004A3C92">
        <w:t>142.000</w:t>
      </w:r>
      <w:r w:rsidR="004A3C92">
        <w:tab/>
        <w:t xml:space="preserve"> 15.000</w:t>
      </w:r>
      <w:r w:rsidR="004A3C92">
        <w:tab/>
      </w:r>
      <w:r w:rsidR="004A3C92">
        <w:tab/>
        <w:t>15.000</w:t>
      </w:r>
    </w:p>
    <w:p w14:paraId="31D0DA86" w14:textId="167EC0D3" w:rsidR="00384CF8" w:rsidRDefault="00384CF8" w:rsidP="00384CF8">
      <w:r>
        <w:t>Rashodi za nabavu proizvedene dugotrajne imovine</w:t>
      </w:r>
      <w:r>
        <w:tab/>
      </w:r>
      <w:r w:rsidR="004A3C92">
        <w:t>67.000</w:t>
      </w:r>
      <w:r w:rsidR="004A3C92">
        <w:tab/>
      </w:r>
      <w:r w:rsidR="004A3C92">
        <w:tab/>
        <w:t xml:space="preserve"> 15.000</w:t>
      </w:r>
      <w:r w:rsidR="004A3C92">
        <w:tab/>
      </w:r>
      <w:r w:rsidR="004A3C92">
        <w:tab/>
        <w:t>15.000</w:t>
      </w:r>
    </w:p>
    <w:p w14:paraId="4D7ADE70" w14:textId="179239DA" w:rsidR="00384CF8" w:rsidRDefault="00384CF8" w:rsidP="00384CF8">
      <w:r>
        <w:t>Izdaci za građevinske objekte - Vrpolje</w:t>
      </w:r>
      <w:r>
        <w:tab/>
      </w:r>
      <w:r>
        <w:tab/>
      </w:r>
      <w:r>
        <w:tab/>
      </w:r>
      <w:r w:rsidR="004A3C92">
        <w:t>60</w:t>
      </w:r>
      <w:r>
        <w:t>.</w:t>
      </w:r>
      <w:r w:rsidR="004A3C92">
        <w:t>0</w:t>
      </w:r>
      <w:r>
        <w:t>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7DB43CFC" w14:textId="2CBBD2DE" w:rsidR="00384CF8" w:rsidRDefault="00384CF8" w:rsidP="00384CF8">
      <w:r>
        <w:t>Postrojenja i oprema</w:t>
      </w:r>
      <w:r>
        <w:tab/>
      </w:r>
      <w:r>
        <w:tab/>
      </w:r>
      <w:r>
        <w:tab/>
      </w:r>
      <w:r>
        <w:tab/>
      </w:r>
      <w:r>
        <w:tab/>
        <w:t>7.000</w:t>
      </w:r>
      <w:r>
        <w:tab/>
      </w:r>
      <w:r>
        <w:tab/>
      </w:r>
      <w:r w:rsidR="004A3C92">
        <w:t>15.000</w:t>
      </w:r>
      <w:r>
        <w:tab/>
      </w:r>
      <w:r>
        <w:tab/>
      </w:r>
      <w:r w:rsidR="004A3C92">
        <w:t>15.00</w:t>
      </w:r>
      <w:r>
        <w:t>0</w:t>
      </w:r>
    </w:p>
    <w:p w14:paraId="1776A3F3" w14:textId="31D180B0" w:rsidR="00F01789" w:rsidRDefault="00F01789" w:rsidP="00F01789">
      <w:r>
        <w:lastRenderedPageBreak/>
        <w:t>Komunalna naknada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15.000</w:t>
      </w:r>
      <w:r>
        <w:tab/>
      </w:r>
      <w:r>
        <w:tab/>
        <w:t>15.000</w:t>
      </w:r>
    </w:p>
    <w:p w14:paraId="56D07DCA" w14:textId="2DCDBAE6" w:rsidR="00F01789" w:rsidRDefault="00F01789" w:rsidP="00384CF8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069488A3" w14:textId="03D3E4B5" w:rsidR="00384CF8" w:rsidRDefault="00384CF8" w:rsidP="00384CF8">
      <w:r>
        <w:t>Dodatna ulaganja na građevinskim objektima</w:t>
      </w:r>
      <w:r>
        <w:tab/>
      </w:r>
      <w:r>
        <w:tab/>
      </w:r>
      <w:r w:rsidR="00F01789">
        <w:t>75</w:t>
      </w:r>
      <w:r>
        <w:t>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42B8DF03" w14:textId="3F7B18DC" w:rsidR="00384CF8" w:rsidRDefault="00384CF8" w:rsidP="00384CF8">
      <w:r>
        <w:t xml:space="preserve">Dodatna ulaganja na građevinskim objektima - Nova Sela  </w:t>
      </w:r>
      <w:r w:rsidR="00F01789">
        <w:t>25</w:t>
      </w:r>
      <w:r>
        <w:t>.000</w:t>
      </w:r>
      <w:r>
        <w:tab/>
      </w:r>
      <w:r>
        <w:tab/>
        <w:t>0</w:t>
      </w:r>
      <w:r>
        <w:tab/>
      </w:r>
      <w:r>
        <w:tab/>
        <w:t>0</w:t>
      </w:r>
    </w:p>
    <w:p w14:paraId="7A82EEA8" w14:textId="0DFCFF55" w:rsidR="00F01789" w:rsidRDefault="00F01789" w:rsidP="00F01789">
      <w:r>
        <w:t xml:space="preserve">Dodatna ulaganja na građevinskim objektima – </w:t>
      </w:r>
    </w:p>
    <w:p w14:paraId="6097CA2E" w14:textId="110594A1" w:rsidR="00F01789" w:rsidRDefault="00946C9B" w:rsidP="00F01789">
      <w:r>
        <w:t>u</w:t>
      </w:r>
      <w:r w:rsidR="00F01789">
        <w:t>ređenje platoa ispred mrtvačnice (Jabuka)</w:t>
      </w:r>
      <w:r w:rsidR="00F01789">
        <w:tab/>
      </w:r>
      <w:r w:rsidR="00F01789">
        <w:tab/>
        <w:t>5</w:t>
      </w:r>
      <w:r>
        <w:t>0</w:t>
      </w:r>
      <w:r w:rsidR="00F01789">
        <w:t>.000</w:t>
      </w:r>
      <w:r w:rsidR="00F01789">
        <w:tab/>
      </w:r>
      <w:r w:rsidR="00F01789">
        <w:tab/>
      </w:r>
      <w:r>
        <w:tab/>
      </w:r>
      <w:r w:rsidR="00F01789">
        <w:t>0</w:t>
      </w:r>
      <w:r w:rsidR="00F01789">
        <w:tab/>
      </w:r>
      <w:r w:rsidR="00F01789">
        <w:tab/>
        <w:t>0</w:t>
      </w:r>
    </w:p>
    <w:p w14:paraId="7DA79245" w14:textId="1749005A" w:rsidR="00384CF8" w:rsidRDefault="00946C9B" w:rsidP="00384CF8">
      <w:r>
        <w:t>Prihodi za posebne namjene</w:t>
      </w:r>
      <w:r w:rsidR="00384CF8">
        <w:tab/>
      </w:r>
      <w:r w:rsidR="00384CF8">
        <w:tab/>
      </w:r>
      <w:r w:rsidR="00384CF8">
        <w:tab/>
      </w:r>
      <w:r w:rsidR="00384CF8">
        <w:tab/>
      </w:r>
      <w:r>
        <w:t>12</w:t>
      </w:r>
      <w:r w:rsidR="00384CF8">
        <w:t>.</w:t>
      </w:r>
      <w:r>
        <w:t>0</w:t>
      </w:r>
      <w:r w:rsidR="00384CF8">
        <w:t>00</w:t>
      </w:r>
      <w:r w:rsidR="00384CF8">
        <w:tab/>
      </w:r>
      <w:r w:rsidR="00384CF8">
        <w:tab/>
      </w:r>
      <w:r>
        <w:tab/>
      </w:r>
      <w:r w:rsidR="00384CF8">
        <w:t>0</w:t>
      </w:r>
      <w:r w:rsidR="00384CF8">
        <w:tab/>
      </w:r>
      <w:r w:rsidR="00384CF8">
        <w:tab/>
        <w:t>0</w:t>
      </w:r>
    </w:p>
    <w:p w14:paraId="4373DFFB" w14:textId="094F20BB" w:rsidR="00946C9B" w:rsidRDefault="00946C9B" w:rsidP="00946C9B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78E2A2A6" w14:textId="22BFC396" w:rsidR="00384CF8" w:rsidRDefault="0053042A" w:rsidP="00384CF8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Ovim programom se planira dovršetak </w:t>
      </w:r>
      <w:r w:rsidR="00946C9B">
        <w:rPr>
          <w:rFonts w:ascii="Calibri" w:hAnsi="Calibri" w:cs="Calibri"/>
          <w:b/>
          <w:bCs/>
          <w:color w:val="000000"/>
        </w:rPr>
        <w:t>gradnja mrtvačnice u naselju V</w:t>
      </w:r>
      <w:r>
        <w:rPr>
          <w:rFonts w:ascii="Calibri" w:hAnsi="Calibri" w:cs="Calibri"/>
          <w:b/>
          <w:bCs/>
          <w:color w:val="000000"/>
        </w:rPr>
        <w:t>rpolje. Također, program podrazumijeva i dodatna ulaganja na mrtvačnicama u Novim Selima</w:t>
      </w:r>
      <w:r w:rsidR="00946C9B">
        <w:rPr>
          <w:rFonts w:ascii="Calibri" w:hAnsi="Calibri" w:cs="Calibri"/>
          <w:b/>
          <w:bCs/>
          <w:color w:val="000000"/>
        </w:rPr>
        <w:t xml:space="preserve"> i Jabuci</w:t>
      </w:r>
      <w:r>
        <w:rPr>
          <w:rFonts w:ascii="Calibri" w:hAnsi="Calibri" w:cs="Calibri"/>
          <w:b/>
          <w:bCs/>
          <w:color w:val="000000"/>
        </w:rPr>
        <w:t>.  Kroz ovu stavku je planirana nabava i izgradnja dodatne opreme u sklopu već izgrađenih mrtvačnica na području Grada Trilja</w:t>
      </w:r>
      <w:r w:rsidR="00422FA0">
        <w:rPr>
          <w:rFonts w:ascii="Calibri" w:hAnsi="Calibri" w:cs="Calibri"/>
          <w:b/>
          <w:bCs/>
          <w:color w:val="000000"/>
        </w:rPr>
        <w:t>.</w:t>
      </w:r>
    </w:p>
    <w:p w14:paraId="23A35A76" w14:textId="77777777" w:rsidR="008313A8" w:rsidRDefault="008313A8" w:rsidP="00384CF8"/>
    <w:p w14:paraId="450F4B23" w14:textId="461F53F9" w:rsidR="00A3663E" w:rsidRDefault="00A3663E" w:rsidP="00A3663E">
      <w:pPr>
        <w:jc w:val="right"/>
      </w:pPr>
      <w:r w:rsidRPr="007B0D90">
        <w:rPr>
          <w:sz w:val="20"/>
          <w:szCs w:val="20"/>
        </w:rPr>
        <w:t>Proračun 202</w:t>
      </w:r>
      <w:r w:rsidR="00422FA0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422FA0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422FA0"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168C2C72" w14:textId="37295508" w:rsidR="00A3663E" w:rsidRDefault="00A3663E" w:rsidP="00A3663E">
      <w:r w:rsidRPr="00A3663E">
        <w:rPr>
          <w:b/>
          <w:bCs/>
          <w:sz w:val="24"/>
          <w:szCs w:val="24"/>
        </w:rPr>
        <w:t>Izgradnja oborinske odvodnje Trilj</w:t>
      </w:r>
      <w:r>
        <w:tab/>
      </w:r>
      <w:r>
        <w:tab/>
      </w:r>
      <w:r>
        <w:tab/>
      </w:r>
      <w:r w:rsidR="00422FA0">
        <w:t>75</w:t>
      </w:r>
      <w:r>
        <w:t>.000</w:t>
      </w:r>
      <w:r w:rsidR="00422FA0">
        <w:tab/>
      </w:r>
      <w:r>
        <w:tab/>
      </w:r>
      <w:r>
        <w:tab/>
        <w:t>0</w:t>
      </w:r>
      <w:r>
        <w:tab/>
      </w:r>
      <w:r>
        <w:tab/>
        <w:t>0</w:t>
      </w:r>
    </w:p>
    <w:p w14:paraId="1A91C7E4" w14:textId="79184681" w:rsidR="00A3663E" w:rsidRDefault="00A3663E" w:rsidP="00A3663E">
      <w:r>
        <w:t>Rashodi poslovanja</w:t>
      </w:r>
      <w:r>
        <w:tab/>
      </w:r>
      <w:r>
        <w:tab/>
      </w:r>
      <w:r>
        <w:tab/>
      </w:r>
      <w:r>
        <w:tab/>
      </w:r>
      <w:r>
        <w:tab/>
      </w:r>
      <w:r w:rsidR="00422FA0">
        <w:t>75</w:t>
      </w:r>
      <w:r>
        <w:t>.000</w:t>
      </w:r>
      <w:r>
        <w:tab/>
      </w:r>
      <w:r>
        <w:tab/>
      </w:r>
      <w:r w:rsidR="00422FA0">
        <w:tab/>
      </w:r>
      <w:r>
        <w:t>0</w:t>
      </w:r>
      <w:r>
        <w:tab/>
      </w:r>
      <w:r>
        <w:tab/>
        <w:t>0</w:t>
      </w:r>
    </w:p>
    <w:p w14:paraId="65AE2B53" w14:textId="713FE806" w:rsidR="00A3663E" w:rsidRDefault="00A3663E" w:rsidP="00A3663E">
      <w:r>
        <w:t>Pomoći dane u inozemstvo i unutar općeg proračuna</w:t>
      </w:r>
      <w:r>
        <w:tab/>
      </w:r>
      <w:r w:rsidR="00B72EE9">
        <w:t>75</w:t>
      </w:r>
      <w:r>
        <w:t>.000</w:t>
      </w:r>
      <w:r w:rsidR="00B72EE9">
        <w:tab/>
      </w:r>
      <w:r>
        <w:tab/>
      </w:r>
      <w:r>
        <w:tab/>
        <w:t>0</w:t>
      </w:r>
      <w:r>
        <w:tab/>
      </w:r>
      <w:r>
        <w:tab/>
        <w:t>0</w:t>
      </w:r>
    </w:p>
    <w:p w14:paraId="25DAA1BD" w14:textId="77777777" w:rsidR="00A3663E" w:rsidRDefault="00A3663E" w:rsidP="00A3663E">
      <w:r>
        <w:t>Pomoći dane u inozemstvo i unutar općeg proračuna</w:t>
      </w:r>
    </w:p>
    <w:p w14:paraId="65C10384" w14:textId="7B05E369" w:rsidR="00A3663E" w:rsidRDefault="00A3663E" w:rsidP="00A3663E">
      <w:r>
        <w:t xml:space="preserve"> - </w:t>
      </w:r>
      <w:proofErr w:type="spellStart"/>
      <w:r>
        <w:t>Bravića</w:t>
      </w:r>
      <w:proofErr w:type="spellEnd"/>
      <w:r>
        <w:t xml:space="preserve"> potok</w:t>
      </w:r>
      <w:r>
        <w:tab/>
      </w:r>
      <w:r>
        <w:tab/>
      </w:r>
      <w:r>
        <w:tab/>
      </w:r>
      <w:r>
        <w:tab/>
      </w:r>
      <w:r>
        <w:tab/>
      </w:r>
      <w:r>
        <w:tab/>
        <w:t>75.000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2E57F9E0" w14:textId="3BD1880D" w:rsidR="00384CF8" w:rsidRDefault="00A3663E" w:rsidP="00A3663E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EE9">
        <w:t>75</w:t>
      </w:r>
      <w:r>
        <w:t>.000</w:t>
      </w:r>
      <w:r>
        <w:tab/>
      </w:r>
      <w:r w:rsidR="00B72EE9">
        <w:tab/>
      </w:r>
      <w:r>
        <w:tab/>
        <w:t>0</w:t>
      </w:r>
      <w:r>
        <w:tab/>
      </w:r>
      <w:r>
        <w:tab/>
        <w:t>0</w:t>
      </w:r>
    </w:p>
    <w:p w14:paraId="34B3E72D" w14:textId="3D7B35D9" w:rsidR="00A3663E" w:rsidRDefault="0053042A" w:rsidP="00A3663E">
      <w:pPr>
        <w:rPr>
          <w:b/>
          <w:bCs/>
        </w:rPr>
      </w:pPr>
      <w:r w:rsidRPr="0053042A">
        <w:rPr>
          <w:b/>
          <w:bCs/>
        </w:rPr>
        <w:t xml:space="preserve">Ovim programom se planira uređenje </w:t>
      </w:r>
      <w:r w:rsidR="00B72EE9">
        <w:rPr>
          <w:b/>
          <w:bCs/>
        </w:rPr>
        <w:t xml:space="preserve">potoka </w:t>
      </w:r>
      <w:proofErr w:type="spellStart"/>
      <w:r w:rsidR="00B72EE9">
        <w:rPr>
          <w:b/>
          <w:bCs/>
        </w:rPr>
        <w:t>Braović</w:t>
      </w:r>
      <w:proofErr w:type="spellEnd"/>
      <w:r w:rsidRPr="0053042A">
        <w:rPr>
          <w:b/>
          <w:bCs/>
        </w:rPr>
        <w:t>.</w:t>
      </w:r>
    </w:p>
    <w:p w14:paraId="6ED033E9" w14:textId="77777777" w:rsidR="00C320CE" w:rsidRDefault="00C320CE" w:rsidP="00A3663E">
      <w:pPr>
        <w:rPr>
          <w:b/>
          <w:bCs/>
        </w:rPr>
      </w:pPr>
    </w:p>
    <w:p w14:paraId="0BDCDFE1" w14:textId="77777777" w:rsidR="00C320CE" w:rsidRDefault="00C320CE" w:rsidP="00C320CE">
      <w:pPr>
        <w:jc w:val="right"/>
      </w:pP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42E91C6F" w14:textId="77777777" w:rsidR="00C320CE" w:rsidRDefault="00C320CE" w:rsidP="00C320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Uređenje</w:t>
      </w:r>
      <w:r w:rsidRPr="00A3663E">
        <w:rPr>
          <w:b/>
          <w:bCs/>
          <w:sz w:val="24"/>
          <w:szCs w:val="24"/>
        </w:rPr>
        <w:t xml:space="preserve"> oborinske odvodnje </w:t>
      </w:r>
      <w:r>
        <w:rPr>
          <w:b/>
          <w:bCs/>
          <w:sz w:val="24"/>
          <w:szCs w:val="24"/>
        </w:rPr>
        <w:t>u ulici</w:t>
      </w:r>
    </w:p>
    <w:p w14:paraId="33857077" w14:textId="4C3C05B5" w:rsidR="00C320CE" w:rsidRDefault="00C320CE" w:rsidP="00C320CE">
      <w:r>
        <w:rPr>
          <w:b/>
          <w:bCs/>
          <w:sz w:val="24"/>
          <w:szCs w:val="24"/>
        </w:rPr>
        <w:t xml:space="preserve">Put </w:t>
      </w:r>
      <w:proofErr w:type="spellStart"/>
      <w:r>
        <w:rPr>
          <w:b/>
          <w:bCs/>
          <w:sz w:val="24"/>
          <w:szCs w:val="24"/>
        </w:rPr>
        <w:t>Garduna</w:t>
      </w:r>
      <w:proofErr w:type="spellEnd"/>
      <w:r>
        <w:rPr>
          <w:b/>
          <w:bCs/>
          <w:sz w:val="24"/>
          <w:szCs w:val="24"/>
        </w:rPr>
        <w:t xml:space="preserve"> u</w:t>
      </w:r>
      <w:r w:rsidR="008313A8">
        <w:rPr>
          <w:b/>
          <w:bCs/>
          <w:sz w:val="24"/>
          <w:szCs w:val="24"/>
        </w:rPr>
        <w:t xml:space="preserve"> </w:t>
      </w:r>
      <w:r w:rsidRPr="00A3663E">
        <w:rPr>
          <w:b/>
          <w:bCs/>
          <w:sz w:val="24"/>
          <w:szCs w:val="24"/>
        </w:rPr>
        <w:t>Trilj</w:t>
      </w:r>
      <w:r>
        <w:rPr>
          <w:b/>
          <w:bCs/>
          <w:sz w:val="24"/>
          <w:szCs w:val="24"/>
        </w:rPr>
        <w:t>u</w:t>
      </w:r>
      <w:r>
        <w:tab/>
      </w:r>
      <w:r>
        <w:tab/>
      </w:r>
      <w:r>
        <w:tab/>
      </w:r>
      <w:r>
        <w:tab/>
      </w:r>
      <w:r>
        <w:tab/>
        <w:t>50.000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213841C6" w14:textId="31AC3D5D" w:rsidR="00C320CE" w:rsidRDefault="00C320CE" w:rsidP="00C320CE">
      <w:r>
        <w:t>Rashodi za nabavu nefinancijske imovine</w:t>
      </w:r>
      <w:r>
        <w:tab/>
      </w:r>
      <w:r>
        <w:tab/>
        <w:t>50.000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064019C8" w14:textId="253D0942" w:rsidR="00C320CE" w:rsidRDefault="00C320CE" w:rsidP="00C320CE">
      <w:r>
        <w:t>Rashodi za nabavu proizvedene dugotrajne imovine</w:t>
      </w:r>
      <w:r>
        <w:tab/>
        <w:t>50.000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6931391D" w14:textId="70256B2F" w:rsidR="00C320CE" w:rsidRDefault="00C320CE" w:rsidP="00C320CE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370F0FD8" w14:textId="63C308F8" w:rsidR="008313A8" w:rsidRDefault="008313A8" w:rsidP="008313A8">
      <w:pPr>
        <w:rPr>
          <w:b/>
          <w:bCs/>
        </w:rPr>
      </w:pPr>
      <w:r w:rsidRPr="0053042A">
        <w:rPr>
          <w:b/>
          <w:bCs/>
        </w:rPr>
        <w:t xml:space="preserve">Ovim programom se planira uređenje </w:t>
      </w:r>
      <w:r>
        <w:rPr>
          <w:b/>
          <w:bCs/>
        </w:rPr>
        <w:t xml:space="preserve">oborinske odvodnje u ulici Put </w:t>
      </w:r>
      <w:proofErr w:type="spellStart"/>
      <w:r>
        <w:rPr>
          <w:b/>
          <w:bCs/>
        </w:rPr>
        <w:t>Garduna</w:t>
      </w:r>
      <w:proofErr w:type="spellEnd"/>
      <w:r>
        <w:rPr>
          <w:b/>
          <w:bCs/>
        </w:rPr>
        <w:t xml:space="preserve"> u Trilju.</w:t>
      </w:r>
    </w:p>
    <w:p w14:paraId="630A4225" w14:textId="77777777" w:rsidR="000F361B" w:rsidRDefault="00A3663E" w:rsidP="00A3663E">
      <w:pPr>
        <w:jc w:val="right"/>
      </w:pPr>
      <w:r>
        <w:tab/>
      </w:r>
    </w:p>
    <w:p w14:paraId="11959CD7" w14:textId="3C2142BE" w:rsidR="00A3663E" w:rsidRDefault="00A3663E" w:rsidP="00A3663E">
      <w:pPr>
        <w:jc w:val="right"/>
      </w:pPr>
      <w:r w:rsidRPr="007B0D90">
        <w:rPr>
          <w:sz w:val="20"/>
          <w:szCs w:val="20"/>
        </w:rPr>
        <w:t>Proračun 202</w:t>
      </w:r>
      <w:r w:rsidR="00C320CE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C320CE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C320CE"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7F019B00" w14:textId="6A4BBE22" w:rsidR="00A3663E" w:rsidRDefault="00A3663E" w:rsidP="00A3663E">
      <w:r w:rsidRPr="00A3663E">
        <w:rPr>
          <w:b/>
          <w:bCs/>
          <w:sz w:val="24"/>
          <w:szCs w:val="24"/>
        </w:rPr>
        <w:t>Izgradnja parkirališta Trilj</w:t>
      </w:r>
      <w:r>
        <w:tab/>
      </w:r>
      <w:r>
        <w:tab/>
      </w:r>
      <w:r>
        <w:tab/>
      </w:r>
      <w:r>
        <w:tab/>
        <w:t>132.700</w:t>
      </w:r>
      <w:r>
        <w:tab/>
      </w:r>
      <w:r>
        <w:tab/>
        <w:t>0</w:t>
      </w:r>
      <w:r>
        <w:tab/>
      </w:r>
      <w:r>
        <w:tab/>
        <w:t>0</w:t>
      </w:r>
    </w:p>
    <w:p w14:paraId="7BA43892" w14:textId="4E34AFC0" w:rsidR="00A3663E" w:rsidRDefault="00A3663E" w:rsidP="00A3663E">
      <w:r>
        <w:lastRenderedPageBreak/>
        <w:t>Rashodi za nabavu nefinancijske imovine</w:t>
      </w:r>
      <w:r>
        <w:tab/>
      </w:r>
      <w:r>
        <w:tab/>
        <w:t>132.700</w:t>
      </w:r>
      <w:r>
        <w:tab/>
      </w:r>
      <w:r>
        <w:tab/>
        <w:t>0</w:t>
      </w:r>
      <w:r>
        <w:tab/>
      </w:r>
      <w:r>
        <w:tab/>
        <w:t>0</w:t>
      </w:r>
    </w:p>
    <w:p w14:paraId="661B36B1" w14:textId="0383C702" w:rsidR="00A3663E" w:rsidRDefault="00A3663E" w:rsidP="00A3663E">
      <w:r>
        <w:t>Rashodi za nabavu proizvedene dugotrajne imovine</w:t>
      </w:r>
      <w:r>
        <w:tab/>
        <w:t>132.700</w:t>
      </w:r>
      <w:r>
        <w:tab/>
      </w:r>
      <w:r>
        <w:tab/>
        <w:t>0</w:t>
      </w:r>
      <w:r>
        <w:tab/>
      </w:r>
      <w:r>
        <w:tab/>
        <w:t>0</w:t>
      </w:r>
    </w:p>
    <w:p w14:paraId="338CD056" w14:textId="77777777" w:rsidR="000F361B" w:rsidRDefault="00A3663E" w:rsidP="0053042A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132.700</w:t>
      </w:r>
      <w:r>
        <w:tab/>
      </w:r>
      <w:r>
        <w:tab/>
        <w:t>0</w:t>
      </w:r>
      <w:r>
        <w:tab/>
      </w:r>
      <w:r>
        <w:tab/>
        <w:t>0</w:t>
      </w:r>
    </w:p>
    <w:p w14:paraId="48F7DFD3" w14:textId="41213F79" w:rsidR="0053042A" w:rsidRPr="000F361B" w:rsidRDefault="000F361B" w:rsidP="0053042A">
      <w:r>
        <w:rPr>
          <w:rFonts w:ascii="Calibri" w:hAnsi="Calibri" w:cs="Calibri"/>
          <w:b/>
          <w:bCs/>
          <w:color w:val="000000"/>
        </w:rPr>
        <w:t>K</w:t>
      </w:r>
      <w:r w:rsidR="0053042A">
        <w:rPr>
          <w:rFonts w:ascii="Calibri" w:hAnsi="Calibri" w:cs="Calibri"/>
          <w:b/>
          <w:bCs/>
          <w:color w:val="000000"/>
        </w:rPr>
        <w:t>roz ovaj program planira se zakup javnog vodnog dobra putem javnog natječaja Hrvatskih voda i izgradnja parkinga uz šetnicu rijeke Cetine (povezivanje s postojećim parkingom).</w:t>
      </w:r>
    </w:p>
    <w:p w14:paraId="632CCE6C" w14:textId="77777777" w:rsidR="0053042A" w:rsidRDefault="0053042A" w:rsidP="00A3663E"/>
    <w:p w14:paraId="4EFF88EA" w14:textId="77777777" w:rsidR="008313A8" w:rsidRDefault="008313A8" w:rsidP="00A3663E"/>
    <w:p w14:paraId="3EAE7CC1" w14:textId="77777777" w:rsidR="008313A8" w:rsidRDefault="008313A8" w:rsidP="00A3663E"/>
    <w:p w14:paraId="0D3F1689" w14:textId="77777777" w:rsidR="000F361B" w:rsidRDefault="000F361B" w:rsidP="000F361B">
      <w:pPr>
        <w:jc w:val="right"/>
      </w:pP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5B61E11E" w14:textId="77777777" w:rsidR="000F361B" w:rsidRDefault="000F361B" w:rsidP="000F36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Uređenje parkirališta ispred crkve Sv. Petra</w:t>
      </w:r>
    </w:p>
    <w:p w14:paraId="48503653" w14:textId="08925538" w:rsidR="000F361B" w:rsidRDefault="000F361B" w:rsidP="000F361B"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Gardun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>
        <w:tab/>
        <w:t>40.000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4840E81B" w14:textId="2D628DD2" w:rsidR="000F361B" w:rsidRDefault="000F361B" w:rsidP="000F361B">
      <w:r>
        <w:t>Rashodi za nabavu nefinancijske imovine</w:t>
      </w:r>
      <w:r>
        <w:tab/>
      </w:r>
      <w:r>
        <w:tab/>
        <w:t>40.000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7D151CC9" w14:textId="3E75C0AF" w:rsidR="000F361B" w:rsidRDefault="000F361B" w:rsidP="000F361B">
      <w:r>
        <w:t>Rashodi za nabavu proizvedene dugotrajne imovine</w:t>
      </w:r>
      <w:r>
        <w:tab/>
      </w:r>
      <w:r w:rsidR="002A5726">
        <w:t>40</w:t>
      </w:r>
      <w:r>
        <w:t>.</w:t>
      </w:r>
      <w:r w:rsidR="002A5726">
        <w:t>0</w:t>
      </w:r>
      <w:r>
        <w:t>00</w:t>
      </w:r>
      <w:r>
        <w:tab/>
      </w:r>
      <w:r>
        <w:tab/>
      </w:r>
      <w:r w:rsidR="002A5726">
        <w:tab/>
      </w:r>
      <w:r>
        <w:t>0</w:t>
      </w:r>
      <w:r>
        <w:tab/>
      </w:r>
      <w:r>
        <w:tab/>
        <w:t>0</w:t>
      </w:r>
    </w:p>
    <w:p w14:paraId="2DFE4814" w14:textId="7B6C3CB2" w:rsidR="000F361B" w:rsidRDefault="000F361B" w:rsidP="000F361B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726">
        <w:t>40</w:t>
      </w:r>
      <w:r>
        <w:t>.</w:t>
      </w:r>
      <w:r w:rsidR="002A5726">
        <w:t>0</w:t>
      </w:r>
      <w:r>
        <w:t>00</w:t>
      </w:r>
      <w:r w:rsidR="002A5726">
        <w:tab/>
      </w:r>
      <w:r>
        <w:tab/>
      </w:r>
      <w:r>
        <w:tab/>
        <w:t>0</w:t>
      </w:r>
      <w:r>
        <w:tab/>
      </w:r>
      <w:r>
        <w:tab/>
        <w:t>0</w:t>
      </w:r>
    </w:p>
    <w:p w14:paraId="0F1FE0E4" w14:textId="2F7EFAF1" w:rsidR="000F361B" w:rsidRDefault="000F361B" w:rsidP="000F361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Kroz ovaj program planira s</w:t>
      </w:r>
      <w:r w:rsidR="002A5726">
        <w:rPr>
          <w:rFonts w:ascii="Calibri" w:hAnsi="Calibri" w:cs="Calibri"/>
          <w:b/>
          <w:bCs/>
          <w:color w:val="000000"/>
        </w:rPr>
        <w:t xml:space="preserve">e uređenje parkirališta ispred crkve Sv. Petra u naselju </w:t>
      </w:r>
      <w:proofErr w:type="spellStart"/>
      <w:r w:rsidR="002A5726">
        <w:rPr>
          <w:rFonts w:ascii="Calibri" w:hAnsi="Calibri" w:cs="Calibri"/>
          <w:b/>
          <w:bCs/>
          <w:color w:val="000000"/>
        </w:rPr>
        <w:t>Gardun</w:t>
      </w:r>
      <w:proofErr w:type="spellEnd"/>
      <w:r w:rsidR="002A5726">
        <w:rPr>
          <w:rFonts w:ascii="Calibri" w:hAnsi="Calibri" w:cs="Calibri"/>
          <w:b/>
          <w:bCs/>
          <w:color w:val="000000"/>
        </w:rPr>
        <w:t>.</w:t>
      </w:r>
    </w:p>
    <w:p w14:paraId="117103B7" w14:textId="77777777" w:rsidR="001D5DDB" w:rsidRDefault="001D5DDB" w:rsidP="001D5DDB">
      <w:pPr>
        <w:jc w:val="right"/>
        <w:rPr>
          <w:sz w:val="20"/>
          <w:szCs w:val="20"/>
        </w:rPr>
      </w:pPr>
    </w:p>
    <w:p w14:paraId="22B79830" w14:textId="77777777" w:rsidR="008313A8" w:rsidRDefault="008313A8" w:rsidP="001D5DDB">
      <w:pPr>
        <w:jc w:val="right"/>
        <w:rPr>
          <w:sz w:val="20"/>
          <w:szCs w:val="20"/>
        </w:rPr>
      </w:pPr>
    </w:p>
    <w:p w14:paraId="3E622BB6" w14:textId="24B36687" w:rsidR="001D5DDB" w:rsidRDefault="001D5DDB" w:rsidP="001D5DDB">
      <w:pPr>
        <w:jc w:val="right"/>
      </w:pP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744BF00A" w14:textId="0773987F" w:rsidR="001D5DDB" w:rsidRDefault="001D5DDB" w:rsidP="001D5DDB">
      <w:r>
        <w:rPr>
          <w:b/>
          <w:bCs/>
          <w:sz w:val="24"/>
          <w:szCs w:val="24"/>
        </w:rPr>
        <w:t>Izgradnja novog visećeg mosta - Drinić</w:t>
      </w:r>
      <w:r>
        <w:tab/>
      </w:r>
      <w:r>
        <w:tab/>
        <w:t>70.000</w:t>
      </w:r>
      <w:r>
        <w:tab/>
      </w:r>
      <w:r>
        <w:tab/>
        <w:t>1.000.000</w:t>
      </w:r>
      <w:r>
        <w:tab/>
      </w:r>
      <w:r>
        <w:tab/>
        <w:t>0</w:t>
      </w:r>
    </w:p>
    <w:p w14:paraId="75708EC6" w14:textId="77777777" w:rsidR="001D5DDB" w:rsidRDefault="001D5DDB" w:rsidP="001D5DDB">
      <w:r>
        <w:t>Rashodi za nabavu nefinancijske imovine</w:t>
      </w:r>
      <w:r>
        <w:tab/>
      </w:r>
      <w:r>
        <w:tab/>
        <w:t>70.000</w:t>
      </w:r>
      <w:r>
        <w:tab/>
      </w:r>
      <w:r>
        <w:tab/>
        <w:t>1.000.000</w:t>
      </w:r>
      <w:r>
        <w:tab/>
      </w:r>
      <w:r>
        <w:tab/>
        <w:t>0</w:t>
      </w:r>
    </w:p>
    <w:p w14:paraId="0B8A60C5" w14:textId="77777777" w:rsidR="001D5DDB" w:rsidRDefault="001D5DDB" w:rsidP="001D5DDB">
      <w:r>
        <w:t>Rashodi za nabavu proizvedene nefinancijske</w:t>
      </w:r>
    </w:p>
    <w:p w14:paraId="04658A27" w14:textId="5308FEB2" w:rsidR="001D5DDB" w:rsidRDefault="001D5DDB" w:rsidP="001D5DDB">
      <w:r>
        <w:t>Imovine – projekt</w:t>
      </w:r>
      <w:r>
        <w:tab/>
      </w:r>
      <w:r>
        <w:tab/>
      </w:r>
      <w:r>
        <w:tab/>
      </w:r>
      <w:r>
        <w:tab/>
      </w:r>
      <w:r>
        <w:tab/>
        <w:t>70.000</w:t>
      </w:r>
      <w:r>
        <w:tab/>
      </w:r>
      <w:r>
        <w:tab/>
        <w:t>1.000.000</w:t>
      </w:r>
      <w:r>
        <w:tab/>
      </w:r>
      <w:r>
        <w:tab/>
        <w:t>0</w:t>
      </w:r>
    </w:p>
    <w:p w14:paraId="14FB5DB8" w14:textId="4EF581E0" w:rsidR="001D5DDB" w:rsidRDefault="001D5DDB" w:rsidP="001D5DDB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70.000</w:t>
      </w:r>
      <w:r>
        <w:tab/>
      </w:r>
      <w:r>
        <w:tab/>
        <w:t xml:space="preserve"> 500.000</w:t>
      </w:r>
      <w:r>
        <w:tab/>
      </w:r>
      <w:r>
        <w:tab/>
        <w:t>0</w:t>
      </w:r>
    </w:p>
    <w:p w14:paraId="59A30295" w14:textId="786E6244" w:rsidR="005737E7" w:rsidRDefault="005737E7" w:rsidP="005737E7">
      <w:r>
        <w:t xml:space="preserve">Proizvodi od prodaje </w:t>
      </w:r>
      <w:proofErr w:type="spellStart"/>
      <w:r>
        <w:t>neproizvedene</w:t>
      </w:r>
      <w:proofErr w:type="spellEnd"/>
      <w:r>
        <w:t xml:space="preserve"> imovine</w:t>
      </w:r>
      <w:r>
        <w:tab/>
      </w:r>
      <w:r>
        <w:tab/>
        <w:t xml:space="preserve">      0</w:t>
      </w:r>
      <w:r>
        <w:tab/>
      </w:r>
      <w:r>
        <w:tab/>
        <w:t xml:space="preserve"> 500.000</w:t>
      </w:r>
      <w:r>
        <w:tab/>
      </w:r>
      <w:r>
        <w:tab/>
        <w:t>0</w:t>
      </w:r>
    </w:p>
    <w:p w14:paraId="0F3CA5DA" w14:textId="0259DEAD" w:rsidR="001D5DDB" w:rsidRPr="000F484A" w:rsidRDefault="001D5DDB" w:rsidP="001D5DDB">
      <w:pPr>
        <w:rPr>
          <w:rFonts w:ascii="Calibri" w:hAnsi="Calibri" w:cs="Calibri"/>
          <w:b/>
          <w:bCs/>
        </w:rPr>
      </w:pPr>
      <w:r w:rsidRPr="000F484A">
        <w:rPr>
          <w:rFonts w:ascii="Calibri" w:hAnsi="Calibri" w:cs="Calibri"/>
          <w:b/>
          <w:bCs/>
        </w:rPr>
        <w:t xml:space="preserve">Kroz ovaj program planira se </w:t>
      </w:r>
      <w:r w:rsidR="000F484A" w:rsidRPr="000F484A">
        <w:rPr>
          <w:rFonts w:ascii="Calibri" w:hAnsi="Calibri" w:cs="Calibri"/>
          <w:b/>
          <w:bCs/>
        </w:rPr>
        <w:t>izrada projektne dokumentacije za izgradnju novog visećeg mosta.</w:t>
      </w:r>
    </w:p>
    <w:p w14:paraId="73F28BC5" w14:textId="77777777" w:rsidR="005737E7" w:rsidRDefault="005737E7" w:rsidP="001D5DDB">
      <w:pPr>
        <w:rPr>
          <w:rFonts w:ascii="Calibri" w:hAnsi="Calibri" w:cs="Calibri"/>
          <w:b/>
          <w:bCs/>
          <w:color w:val="FF0000"/>
        </w:rPr>
      </w:pPr>
    </w:p>
    <w:p w14:paraId="386C77B8" w14:textId="77777777" w:rsidR="008313A8" w:rsidRDefault="008313A8" w:rsidP="001D5DDB">
      <w:pPr>
        <w:rPr>
          <w:rFonts w:ascii="Calibri" w:hAnsi="Calibri" w:cs="Calibri"/>
          <w:b/>
          <w:bCs/>
          <w:color w:val="FF0000"/>
        </w:rPr>
      </w:pPr>
    </w:p>
    <w:p w14:paraId="2B1F94F3" w14:textId="0413D3EF" w:rsidR="005737E7" w:rsidRPr="007B0D90" w:rsidRDefault="005737E7" w:rsidP="005737E7">
      <w:pPr>
        <w:jc w:val="right"/>
        <w:rPr>
          <w:sz w:val="20"/>
          <w:szCs w:val="20"/>
        </w:rPr>
      </w:pP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75A1EF50" w14:textId="6E134E0F" w:rsidR="005737E7" w:rsidRDefault="005737E7" w:rsidP="005737E7">
      <w:r w:rsidRPr="00A3663E">
        <w:rPr>
          <w:b/>
          <w:bCs/>
          <w:sz w:val="24"/>
          <w:szCs w:val="24"/>
        </w:rPr>
        <w:t>Izgradnja javne rasvjete</w:t>
      </w:r>
      <w:r>
        <w:tab/>
      </w:r>
      <w:r>
        <w:tab/>
      </w:r>
      <w:r>
        <w:tab/>
      </w:r>
      <w:r>
        <w:tab/>
      </w:r>
      <w:r w:rsidR="00CB3CEB">
        <w:t>40</w:t>
      </w:r>
      <w:r>
        <w:t>.000</w:t>
      </w:r>
      <w:r>
        <w:tab/>
      </w:r>
      <w:r>
        <w:tab/>
      </w:r>
      <w:r w:rsidR="00CB3CEB">
        <w:t xml:space="preserve"> 50.000</w:t>
      </w:r>
      <w:r>
        <w:tab/>
      </w:r>
      <w:r>
        <w:tab/>
      </w:r>
      <w:r w:rsidR="00CB3CEB">
        <w:t>50.000</w:t>
      </w:r>
    </w:p>
    <w:p w14:paraId="6066C360" w14:textId="32BE8915" w:rsidR="005737E7" w:rsidRDefault="005737E7" w:rsidP="005737E7">
      <w:r>
        <w:t>Rashodi za nabavu nefinancijske imovine</w:t>
      </w:r>
      <w:r>
        <w:tab/>
      </w:r>
      <w:r>
        <w:tab/>
      </w:r>
      <w:r w:rsidR="00EC4FEF">
        <w:t>40.000</w:t>
      </w:r>
      <w:r w:rsidR="00EC4FEF">
        <w:tab/>
      </w:r>
      <w:r w:rsidR="00EC4FEF">
        <w:tab/>
        <w:t xml:space="preserve"> 50.000</w:t>
      </w:r>
      <w:r w:rsidR="00EC4FEF">
        <w:tab/>
      </w:r>
      <w:r w:rsidR="00EC4FEF">
        <w:tab/>
        <w:t>50.000</w:t>
      </w:r>
    </w:p>
    <w:p w14:paraId="616228B1" w14:textId="471F5ACF" w:rsidR="005737E7" w:rsidRDefault="005737E7" w:rsidP="005737E7">
      <w:r>
        <w:t>Rashodi za nabavu proizvedene dugotrajne imovine</w:t>
      </w:r>
      <w:r>
        <w:tab/>
      </w:r>
      <w:r w:rsidR="00EC4FEF">
        <w:t>40.000</w:t>
      </w:r>
      <w:r w:rsidR="00EC4FEF">
        <w:tab/>
      </w:r>
      <w:r w:rsidR="00EC4FEF">
        <w:tab/>
        <w:t xml:space="preserve"> 50.000</w:t>
      </w:r>
      <w:r w:rsidR="00EC4FEF">
        <w:tab/>
      </w:r>
      <w:r w:rsidR="00EC4FEF">
        <w:tab/>
        <w:t>50.000</w:t>
      </w:r>
    </w:p>
    <w:p w14:paraId="0DC000F2" w14:textId="77777777" w:rsidR="005737E7" w:rsidRDefault="005737E7" w:rsidP="005737E7">
      <w:r>
        <w:lastRenderedPageBreak/>
        <w:t xml:space="preserve">Rashodi za nabavu proizvedene dugotrajne imovine </w:t>
      </w:r>
    </w:p>
    <w:p w14:paraId="19F0F3F2" w14:textId="2DA2A345" w:rsidR="005737E7" w:rsidRDefault="005737E7" w:rsidP="005737E7">
      <w:r>
        <w:t xml:space="preserve">- </w:t>
      </w:r>
      <w:r w:rsidR="00EC4FEF">
        <w:t>Jabuka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4FEF">
        <w:t>40</w:t>
      </w:r>
      <w:r>
        <w:t>.000</w:t>
      </w:r>
      <w:r>
        <w:tab/>
      </w:r>
      <w:r>
        <w:tab/>
      </w:r>
      <w:r w:rsidR="00CE52B3">
        <w:t xml:space="preserve">   </w:t>
      </w:r>
      <w:r>
        <w:t>0</w:t>
      </w:r>
      <w:r>
        <w:tab/>
      </w:r>
      <w:r>
        <w:tab/>
        <w:t>0</w:t>
      </w:r>
    </w:p>
    <w:p w14:paraId="51A0976B" w14:textId="1DF422A7" w:rsidR="005737E7" w:rsidRDefault="005737E7" w:rsidP="005737E7">
      <w:r>
        <w:t>P</w:t>
      </w:r>
      <w:r w:rsidR="00EC4FEF">
        <w:t>rihodi za posebne namjene</w:t>
      </w:r>
      <w:r>
        <w:tab/>
      </w:r>
      <w:r>
        <w:tab/>
      </w:r>
      <w:r>
        <w:tab/>
      </w:r>
      <w:r>
        <w:tab/>
      </w:r>
      <w:r w:rsidR="00EC4FEF">
        <w:t>40.000</w:t>
      </w:r>
      <w:r w:rsidR="00EC4FEF">
        <w:tab/>
      </w:r>
      <w:r w:rsidR="00EC4FEF">
        <w:tab/>
        <w:t xml:space="preserve"> 42.500</w:t>
      </w:r>
      <w:r w:rsidR="00EC4FEF">
        <w:tab/>
      </w:r>
      <w:r w:rsidR="00EC4FEF">
        <w:tab/>
      </w:r>
      <w:r w:rsidR="00CE5DD3">
        <w:t xml:space="preserve">  </w:t>
      </w:r>
      <w:r w:rsidR="00EC4FEF">
        <w:t>9.500</w:t>
      </w:r>
    </w:p>
    <w:p w14:paraId="4EB96AA2" w14:textId="42397BAE" w:rsidR="00EC4FEF" w:rsidRDefault="00EC4FEF" w:rsidP="00EC4FEF">
      <w:r>
        <w:t>Komunalna naknada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</w:r>
      <w:r w:rsidR="00CE5DD3">
        <w:t xml:space="preserve">   </w:t>
      </w:r>
      <w:r>
        <w:t>7.500</w:t>
      </w:r>
      <w:r>
        <w:tab/>
      </w:r>
      <w:r>
        <w:tab/>
        <w:t>40.500</w:t>
      </w:r>
    </w:p>
    <w:p w14:paraId="18DDC73B" w14:textId="32A3A02F" w:rsidR="005737E7" w:rsidRDefault="005737E7" w:rsidP="005737E7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Programom je planirana izgradnja javne rasvjete </w:t>
      </w:r>
      <w:r w:rsidR="00CE5DD3">
        <w:rPr>
          <w:rFonts w:ascii="Calibri" w:hAnsi="Calibri" w:cs="Calibri"/>
          <w:b/>
          <w:bCs/>
          <w:color w:val="000000"/>
        </w:rPr>
        <w:t>uz nogostup u naselje Jabuka.</w:t>
      </w:r>
    </w:p>
    <w:p w14:paraId="62D4B485" w14:textId="77777777" w:rsidR="00CE5DD3" w:rsidRDefault="00CE5DD3" w:rsidP="005737E7">
      <w:pPr>
        <w:rPr>
          <w:rFonts w:ascii="Calibri" w:hAnsi="Calibri" w:cs="Calibri"/>
          <w:b/>
          <w:bCs/>
          <w:color w:val="000000"/>
        </w:rPr>
      </w:pPr>
    </w:p>
    <w:p w14:paraId="278F075C" w14:textId="77777777" w:rsidR="008D2330" w:rsidRDefault="008D2330" w:rsidP="005737E7">
      <w:pPr>
        <w:rPr>
          <w:rFonts w:ascii="Calibri" w:hAnsi="Calibri" w:cs="Calibri"/>
          <w:b/>
          <w:bCs/>
          <w:color w:val="000000"/>
        </w:rPr>
      </w:pPr>
    </w:p>
    <w:p w14:paraId="44881EE3" w14:textId="77777777" w:rsidR="008D2330" w:rsidRDefault="008D2330" w:rsidP="005737E7">
      <w:pPr>
        <w:rPr>
          <w:rFonts w:ascii="Calibri" w:hAnsi="Calibri" w:cs="Calibri"/>
          <w:b/>
          <w:bCs/>
          <w:color w:val="000000"/>
        </w:rPr>
      </w:pPr>
    </w:p>
    <w:p w14:paraId="4CEBBFB2" w14:textId="2591DAD8" w:rsidR="008D2330" w:rsidRDefault="008D2330" w:rsidP="008D2330">
      <w:pPr>
        <w:jc w:val="right"/>
      </w:pPr>
      <w:r>
        <w:tab/>
      </w:r>
      <w:r w:rsidRPr="007B0D90">
        <w:rPr>
          <w:sz w:val="20"/>
          <w:szCs w:val="20"/>
        </w:rPr>
        <w:t>Proračun 202</w:t>
      </w:r>
      <w:r w:rsidR="00305504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305504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305504"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0B25ED2E" w14:textId="6367C6B5" w:rsidR="008D2330" w:rsidRDefault="00020564" w:rsidP="008D2330">
      <w:r>
        <w:rPr>
          <w:b/>
          <w:bCs/>
          <w:sz w:val="24"/>
          <w:szCs w:val="24"/>
        </w:rPr>
        <w:t>Izgradnja</w:t>
      </w:r>
      <w:r w:rsidR="008D2330" w:rsidRPr="00A3663E">
        <w:rPr>
          <w:b/>
          <w:bCs/>
          <w:sz w:val="24"/>
          <w:szCs w:val="24"/>
        </w:rPr>
        <w:t xml:space="preserve"> energetske mreže - </w:t>
      </w:r>
      <w:proofErr w:type="spellStart"/>
      <w:r w:rsidR="008D2330" w:rsidRPr="00A3663E">
        <w:rPr>
          <w:b/>
          <w:bCs/>
          <w:sz w:val="24"/>
          <w:szCs w:val="24"/>
        </w:rPr>
        <w:t>Krivodol</w:t>
      </w:r>
      <w:proofErr w:type="spellEnd"/>
      <w:r w:rsidR="008D2330">
        <w:tab/>
      </w:r>
      <w:r w:rsidR="008D2330">
        <w:tab/>
        <w:t>100.000</w:t>
      </w:r>
      <w:r w:rsidR="008D2330">
        <w:tab/>
      </w:r>
      <w:r w:rsidR="008D2330">
        <w:tab/>
        <w:t>0</w:t>
      </w:r>
      <w:r w:rsidR="008D2330">
        <w:tab/>
      </w:r>
      <w:r w:rsidR="008D2330">
        <w:tab/>
        <w:t>0</w:t>
      </w:r>
    </w:p>
    <w:p w14:paraId="4908A533" w14:textId="77777777" w:rsidR="008D2330" w:rsidRDefault="008D2330" w:rsidP="008D2330">
      <w:r>
        <w:t>Rashodi  za nabavu nefinancijske imovine</w:t>
      </w:r>
      <w:r>
        <w:tab/>
      </w:r>
      <w:r>
        <w:tab/>
        <w:t>100.000</w:t>
      </w:r>
      <w:r>
        <w:tab/>
      </w:r>
      <w:r>
        <w:tab/>
        <w:t>0</w:t>
      </w:r>
      <w:r>
        <w:tab/>
      </w:r>
      <w:r>
        <w:tab/>
        <w:t>0</w:t>
      </w:r>
    </w:p>
    <w:p w14:paraId="6BB664CD" w14:textId="77777777" w:rsidR="008D2330" w:rsidRDefault="008D2330" w:rsidP="008D2330">
      <w:r>
        <w:t>Rashodi za nabavu proizvedene dugotrajne imovine</w:t>
      </w:r>
      <w:r>
        <w:tab/>
        <w:t>100.000</w:t>
      </w:r>
      <w:r>
        <w:tab/>
      </w:r>
      <w:r>
        <w:tab/>
        <w:t>0</w:t>
      </w:r>
      <w:r>
        <w:tab/>
      </w:r>
      <w:r>
        <w:tab/>
        <w:t>0</w:t>
      </w:r>
    </w:p>
    <w:p w14:paraId="4F45ED0E" w14:textId="77777777" w:rsidR="008D2330" w:rsidRDefault="008D2330" w:rsidP="008D2330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100.000</w:t>
      </w:r>
      <w:r>
        <w:tab/>
      </w:r>
      <w:r>
        <w:tab/>
        <w:t>0</w:t>
      </w:r>
      <w:r>
        <w:tab/>
      </w:r>
      <w:r>
        <w:tab/>
        <w:t>0</w:t>
      </w:r>
    </w:p>
    <w:p w14:paraId="48A4112B" w14:textId="77777777" w:rsidR="008D2330" w:rsidRDefault="008D2330" w:rsidP="008D2330">
      <w:pPr>
        <w:rPr>
          <w:b/>
          <w:bCs/>
        </w:rPr>
      </w:pPr>
      <w:r w:rsidRPr="007B0D90">
        <w:rPr>
          <w:b/>
          <w:bCs/>
        </w:rPr>
        <w:t xml:space="preserve">Programom se planira obnova energetske mreže prema naselju </w:t>
      </w:r>
      <w:proofErr w:type="spellStart"/>
      <w:r w:rsidRPr="007B0D90">
        <w:rPr>
          <w:b/>
          <w:bCs/>
        </w:rPr>
        <w:t>Krivodol</w:t>
      </w:r>
      <w:proofErr w:type="spellEnd"/>
      <w:r w:rsidRPr="007B0D90">
        <w:rPr>
          <w:b/>
          <w:bCs/>
        </w:rPr>
        <w:t>.</w:t>
      </w:r>
    </w:p>
    <w:p w14:paraId="0383EC6F" w14:textId="77777777" w:rsidR="00A41B0D" w:rsidRDefault="00A41B0D" w:rsidP="008D2330">
      <w:pPr>
        <w:rPr>
          <w:b/>
          <w:bCs/>
        </w:rPr>
      </w:pPr>
    </w:p>
    <w:p w14:paraId="3EB25BD6" w14:textId="68943C6A" w:rsidR="00A41B0D" w:rsidRDefault="00A41B0D" w:rsidP="00A41B0D">
      <w:pPr>
        <w:jc w:val="right"/>
      </w:pPr>
      <w:r>
        <w:tab/>
      </w:r>
      <w:r w:rsidRPr="007B0D90">
        <w:rPr>
          <w:sz w:val="20"/>
          <w:szCs w:val="20"/>
        </w:rPr>
        <w:t>Proračun 202</w:t>
      </w:r>
      <w:r w:rsidR="00305504"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305504"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 w:rsidR="00305504"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7C8B8D66" w14:textId="77777777" w:rsidR="00A41B0D" w:rsidRDefault="00A41B0D" w:rsidP="00A41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Energetska učinkovitost javne rasvjete na </w:t>
      </w:r>
    </w:p>
    <w:p w14:paraId="5B79EA8C" w14:textId="11FB23FF" w:rsidR="00A41B0D" w:rsidRDefault="00A41B0D" w:rsidP="00A41B0D">
      <w:r>
        <w:rPr>
          <w:b/>
          <w:bCs/>
          <w:sz w:val="24"/>
          <w:szCs w:val="24"/>
        </w:rPr>
        <w:t>području grada Trilja</w:t>
      </w:r>
      <w:r>
        <w:tab/>
      </w:r>
      <w:r>
        <w:tab/>
      </w:r>
      <w:r>
        <w:tab/>
      </w:r>
      <w:r>
        <w:tab/>
      </w:r>
      <w:r>
        <w:tab/>
        <w:t>1</w:t>
      </w:r>
      <w:r w:rsidR="00305504">
        <w:t>.617.000</w:t>
      </w:r>
      <w:r>
        <w:tab/>
      </w:r>
      <w:r>
        <w:tab/>
        <w:t>0</w:t>
      </w:r>
      <w:r>
        <w:tab/>
      </w:r>
      <w:r>
        <w:tab/>
        <w:t>0</w:t>
      </w:r>
    </w:p>
    <w:p w14:paraId="6F27DEF0" w14:textId="4F2A12FE" w:rsidR="00A41B0D" w:rsidRDefault="00A41B0D" w:rsidP="00A41B0D">
      <w:r>
        <w:t>Rashodi  za nabavu</w:t>
      </w:r>
      <w:r w:rsidR="00456727">
        <w:t xml:space="preserve"> nefinancijske imovine</w:t>
      </w:r>
      <w:r>
        <w:tab/>
      </w:r>
      <w:r>
        <w:tab/>
      </w:r>
      <w:r w:rsidR="00305504">
        <w:t>1.617.000</w:t>
      </w:r>
      <w:r>
        <w:tab/>
      </w:r>
      <w:r>
        <w:tab/>
        <w:t>0</w:t>
      </w:r>
      <w:r>
        <w:tab/>
      </w:r>
      <w:r>
        <w:tab/>
        <w:t>0</w:t>
      </w:r>
    </w:p>
    <w:p w14:paraId="67A09479" w14:textId="0E4F62EF" w:rsidR="00A41B0D" w:rsidRDefault="00A41B0D" w:rsidP="00A41B0D">
      <w:r>
        <w:t>Rashodi za nabavu proizvedene dugotrajne imovine</w:t>
      </w:r>
      <w:r>
        <w:tab/>
      </w:r>
      <w:r w:rsidR="00305504">
        <w:t>1.617.000</w:t>
      </w:r>
      <w:r>
        <w:tab/>
      </w:r>
      <w:r>
        <w:tab/>
        <w:t>0</w:t>
      </w:r>
      <w:r>
        <w:tab/>
      </w:r>
      <w:r>
        <w:tab/>
        <w:t>0</w:t>
      </w:r>
    </w:p>
    <w:p w14:paraId="48457230" w14:textId="77777777" w:rsidR="00305504" w:rsidRDefault="00305504" w:rsidP="00305504">
      <w:r>
        <w:t>Namjenski primici</w:t>
      </w:r>
      <w:r w:rsidR="00A41B0D">
        <w:tab/>
      </w:r>
      <w:r w:rsidR="00A41B0D">
        <w:tab/>
      </w:r>
      <w:r w:rsidR="00A41B0D">
        <w:tab/>
      </w:r>
      <w:r w:rsidR="00A41B0D">
        <w:tab/>
      </w:r>
      <w:r w:rsidR="00A41B0D">
        <w:tab/>
      </w:r>
      <w:r>
        <w:t>1.617.000</w:t>
      </w:r>
      <w:r>
        <w:tab/>
      </w:r>
      <w:r>
        <w:tab/>
        <w:t>0</w:t>
      </w:r>
      <w:r>
        <w:tab/>
      </w:r>
      <w:r>
        <w:tab/>
        <w:t>0</w:t>
      </w:r>
    </w:p>
    <w:p w14:paraId="4972BDB9" w14:textId="77777777" w:rsidR="00001DDD" w:rsidRDefault="00001DDD" w:rsidP="00001DDD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Program obuhvaća zamjenu postojećih rasvjetnih tijela LED rasvjetnim tijelima.</w:t>
      </w:r>
    </w:p>
    <w:p w14:paraId="024C8165" w14:textId="77777777" w:rsidR="00305504" w:rsidRDefault="00305504" w:rsidP="00A41B0D">
      <w:pPr>
        <w:rPr>
          <w:b/>
          <w:bCs/>
        </w:rPr>
      </w:pPr>
    </w:p>
    <w:p w14:paraId="18B8E295" w14:textId="77777777" w:rsidR="00D4665A" w:rsidRDefault="00D4665A" w:rsidP="00D4665A">
      <w:pPr>
        <w:jc w:val="right"/>
      </w:pP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2F610F30" w14:textId="4B5B046E" w:rsidR="00D4665A" w:rsidRDefault="00D4665A" w:rsidP="00D4665A">
      <w:r>
        <w:rPr>
          <w:b/>
          <w:bCs/>
          <w:sz w:val="24"/>
          <w:szCs w:val="24"/>
        </w:rPr>
        <w:t>Komunalno opremanje novih stambenih zona</w:t>
      </w:r>
      <w:r>
        <w:tab/>
        <w:t>200.000</w:t>
      </w:r>
      <w:r>
        <w:tab/>
        <w:t>200.000</w:t>
      </w:r>
      <w:r>
        <w:tab/>
        <w:t>200.000</w:t>
      </w:r>
    </w:p>
    <w:p w14:paraId="399083D2" w14:textId="622DC5AE" w:rsidR="00D4665A" w:rsidRDefault="00D4665A" w:rsidP="00D4665A">
      <w:r>
        <w:t xml:space="preserve">Rashodi </w:t>
      </w:r>
      <w:r w:rsidR="00A9466B">
        <w:t>za nabavu</w:t>
      </w:r>
      <w:r w:rsidR="00456727">
        <w:t xml:space="preserve"> nefinancijske imovine</w:t>
      </w:r>
      <w:r>
        <w:tab/>
      </w:r>
      <w:r>
        <w:tab/>
        <w:t>200.000</w:t>
      </w:r>
      <w:r>
        <w:tab/>
        <w:t>200.000</w:t>
      </w:r>
      <w:r>
        <w:tab/>
        <w:t>200.000</w:t>
      </w:r>
    </w:p>
    <w:p w14:paraId="55B5C2D5" w14:textId="77777777" w:rsidR="00A9466B" w:rsidRDefault="00D4665A" w:rsidP="00D4665A">
      <w:r>
        <w:t>Rashodi za nabavu proizvedene dugotrajne imovine</w:t>
      </w:r>
      <w:r>
        <w:tab/>
      </w:r>
      <w:r w:rsidR="00A9466B">
        <w:t>200.000</w:t>
      </w:r>
      <w:r w:rsidR="00A9466B">
        <w:tab/>
        <w:t>200.000</w:t>
      </w:r>
      <w:r w:rsidR="00A9466B">
        <w:tab/>
        <w:t>200.000</w:t>
      </w:r>
    </w:p>
    <w:p w14:paraId="74FC4CEB" w14:textId="77777777" w:rsidR="00A9466B" w:rsidRDefault="00A9466B" w:rsidP="00D4665A">
      <w:r>
        <w:t>Pomoći</w:t>
      </w:r>
      <w:r>
        <w:tab/>
      </w:r>
      <w:r>
        <w:tab/>
      </w:r>
      <w:r w:rsidR="00D4665A">
        <w:tab/>
      </w:r>
      <w:r w:rsidR="00D4665A">
        <w:tab/>
      </w:r>
      <w:r w:rsidR="00D4665A">
        <w:tab/>
      </w:r>
      <w:r w:rsidR="00D4665A">
        <w:tab/>
      </w:r>
      <w:r w:rsidR="00D4665A">
        <w:tab/>
      </w:r>
      <w:r>
        <w:t>200.000</w:t>
      </w:r>
      <w:r>
        <w:tab/>
        <w:t>200.000</w:t>
      </w:r>
      <w:r>
        <w:tab/>
        <w:t>200.000</w:t>
      </w:r>
    </w:p>
    <w:p w14:paraId="353B5A11" w14:textId="211B7615" w:rsidR="00D4665A" w:rsidRDefault="00D4665A" w:rsidP="00D4665A">
      <w:pPr>
        <w:rPr>
          <w:b/>
          <w:bCs/>
        </w:rPr>
      </w:pPr>
      <w:r w:rsidRPr="007B0D90">
        <w:rPr>
          <w:b/>
          <w:bCs/>
        </w:rPr>
        <w:t>Programom se planira</w:t>
      </w:r>
      <w:r w:rsidR="00085620">
        <w:rPr>
          <w:b/>
          <w:bCs/>
        </w:rPr>
        <w:t xml:space="preserve"> opremanje stambenih zona komunalnom infrastrukturom.</w:t>
      </w:r>
    </w:p>
    <w:p w14:paraId="1EE3430E" w14:textId="77777777" w:rsidR="00305504" w:rsidRDefault="00305504" w:rsidP="00A41B0D">
      <w:pPr>
        <w:rPr>
          <w:b/>
          <w:bCs/>
        </w:rPr>
      </w:pPr>
    </w:p>
    <w:p w14:paraId="6AA514BB" w14:textId="77777777" w:rsidR="002B08A6" w:rsidRDefault="002B08A6" w:rsidP="00A41B0D">
      <w:pPr>
        <w:rPr>
          <w:b/>
          <w:bCs/>
        </w:rPr>
      </w:pPr>
    </w:p>
    <w:p w14:paraId="15668799" w14:textId="77777777" w:rsidR="002B08A6" w:rsidRDefault="002B08A6" w:rsidP="00A41B0D">
      <w:pPr>
        <w:rPr>
          <w:b/>
          <w:bCs/>
        </w:rPr>
      </w:pPr>
    </w:p>
    <w:p w14:paraId="2A4BF90D" w14:textId="77777777" w:rsidR="00085620" w:rsidRDefault="00085620" w:rsidP="00085620">
      <w:pPr>
        <w:jc w:val="right"/>
      </w:pP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7DA78D14" w14:textId="77777777" w:rsidR="00085620" w:rsidRDefault="00085620" w:rsidP="000856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Uređenje pročelja građevinskih objekata u </w:t>
      </w:r>
    </w:p>
    <w:p w14:paraId="3F9E3A38" w14:textId="2D6B838F" w:rsidR="00085620" w:rsidRDefault="00085620" w:rsidP="00085620">
      <w:r>
        <w:rPr>
          <w:b/>
          <w:bCs/>
          <w:sz w:val="24"/>
          <w:szCs w:val="24"/>
        </w:rPr>
        <w:t>centru Trilja</w:t>
      </w:r>
      <w:r>
        <w:tab/>
      </w:r>
      <w:r>
        <w:tab/>
      </w:r>
      <w:r>
        <w:tab/>
      </w:r>
      <w:r>
        <w:tab/>
      </w:r>
      <w:r>
        <w:tab/>
      </w:r>
      <w:r>
        <w:tab/>
        <w:t>100.000</w:t>
      </w:r>
      <w:r>
        <w:tab/>
        <w:t>100.000</w:t>
      </w:r>
      <w:r>
        <w:tab/>
        <w:t>100.000</w:t>
      </w:r>
    </w:p>
    <w:p w14:paraId="342C4FA9" w14:textId="23FC93B8" w:rsidR="00085620" w:rsidRDefault="00085620" w:rsidP="00085620">
      <w:r>
        <w:t>Rashodi poslovanja</w:t>
      </w:r>
      <w:r>
        <w:tab/>
      </w:r>
      <w:r>
        <w:tab/>
      </w:r>
      <w:r>
        <w:tab/>
      </w:r>
      <w:r>
        <w:tab/>
      </w:r>
      <w:r>
        <w:tab/>
        <w:t>100.000</w:t>
      </w:r>
      <w:r>
        <w:tab/>
        <w:t>100.000</w:t>
      </w:r>
      <w:r>
        <w:tab/>
        <w:t>100.000</w:t>
      </w:r>
    </w:p>
    <w:p w14:paraId="22F8CDA7" w14:textId="0112F7C8" w:rsidR="00085620" w:rsidRDefault="00C34DD6" w:rsidP="00085620">
      <w:r>
        <w:t>Subvencije</w:t>
      </w:r>
      <w:r>
        <w:tab/>
      </w:r>
      <w:r>
        <w:tab/>
      </w:r>
      <w:r>
        <w:tab/>
      </w:r>
      <w:r>
        <w:tab/>
      </w:r>
      <w:r>
        <w:tab/>
      </w:r>
      <w:r w:rsidR="00085620">
        <w:tab/>
      </w:r>
      <w:r>
        <w:t>100.000</w:t>
      </w:r>
      <w:r>
        <w:tab/>
        <w:t>100.000</w:t>
      </w:r>
      <w:r>
        <w:tab/>
        <w:t>100.000</w:t>
      </w:r>
    </w:p>
    <w:p w14:paraId="3DF64F8B" w14:textId="5CD7FD58" w:rsidR="00085620" w:rsidRDefault="00C34DD6" w:rsidP="00085620">
      <w:r>
        <w:t>Prihodi za posebne namjene</w:t>
      </w:r>
      <w:r w:rsidR="00085620">
        <w:tab/>
      </w:r>
      <w:r w:rsidR="00085620">
        <w:tab/>
      </w:r>
      <w:r w:rsidR="00085620">
        <w:tab/>
      </w:r>
      <w:r w:rsidR="00085620">
        <w:tab/>
      </w:r>
      <w:r>
        <w:t>33</w:t>
      </w:r>
      <w:r w:rsidR="00085620">
        <w:t>.000</w:t>
      </w:r>
      <w:r w:rsidR="00085620">
        <w:tab/>
      </w:r>
      <w:r>
        <w:tab/>
        <w:t>33</w:t>
      </w:r>
      <w:r w:rsidR="00085620">
        <w:t>.000</w:t>
      </w:r>
      <w:r w:rsidR="00085620">
        <w:tab/>
      </w:r>
      <w:r>
        <w:tab/>
        <w:t>33</w:t>
      </w:r>
      <w:r w:rsidR="00085620">
        <w:t>.000</w:t>
      </w:r>
    </w:p>
    <w:p w14:paraId="1C3F36B0" w14:textId="2B3E7E95" w:rsidR="00C34DD6" w:rsidRDefault="00C34DD6" w:rsidP="00C34DD6">
      <w:r>
        <w:t>Sufinanciranje cijene usluge</w:t>
      </w:r>
      <w:r>
        <w:tab/>
      </w:r>
      <w:r>
        <w:tab/>
      </w:r>
      <w:r>
        <w:tab/>
      </w:r>
      <w:r>
        <w:tab/>
        <w:t>33.000</w:t>
      </w:r>
      <w:r>
        <w:tab/>
      </w:r>
      <w:r>
        <w:tab/>
        <w:t>33.000</w:t>
      </w:r>
      <w:r>
        <w:tab/>
      </w:r>
      <w:r>
        <w:tab/>
        <w:t>33.000</w:t>
      </w:r>
    </w:p>
    <w:p w14:paraId="778F1E35" w14:textId="0E571C39" w:rsidR="00C34DD6" w:rsidRDefault="00C34DD6" w:rsidP="00C34DD6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34.000</w:t>
      </w:r>
      <w:r>
        <w:tab/>
      </w:r>
      <w:r>
        <w:tab/>
        <w:t>34.000</w:t>
      </w:r>
      <w:r>
        <w:tab/>
      </w:r>
      <w:r>
        <w:tab/>
        <w:t>34.000</w:t>
      </w:r>
    </w:p>
    <w:p w14:paraId="28B309E3" w14:textId="77777777" w:rsidR="00C34DD6" w:rsidRDefault="00C34DD6" w:rsidP="00C34DD6"/>
    <w:p w14:paraId="735B9A66" w14:textId="77777777" w:rsidR="00C34DD6" w:rsidRDefault="00C34DD6" w:rsidP="00085620"/>
    <w:p w14:paraId="2D56531A" w14:textId="21340D75" w:rsidR="00085620" w:rsidRDefault="00085620" w:rsidP="00085620">
      <w:pPr>
        <w:rPr>
          <w:b/>
          <w:bCs/>
        </w:rPr>
      </w:pPr>
      <w:r w:rsidRPr="007B0D90">
        <w:rPr>
          <w:b/>
          <w:bCs/>
        </w:rPr>
        <w:t>Programom se planira</w:t>
      </w:r>
      <w:r>
        <w:rPr>
          <w:b/>
          <w:bCs/>
        </w:rPr>
        <w:t xml:space="preserve"> </w:t>
      </w:r>
      <w:r w:rsidR="00657427">
        <w:rPr>
          <w:b/>
          <w:bCs/>
        </w:rPr>
        <w:t xml:space="preserve">subvencioniranje uređenja pročelja građevinskih objekata u centru Trilja u iznosu 33% </w:t>
      </w:r>
      <w:r w:rsidR="00453C10">
        <w:rPr>
          <w:b/>
          <w:bCs/>
        </w:rPr>
        <w:t xml:space="preserve"> po donošenju mjera Vlade RH.</w:t>
      </w:r>
    </w:p>
    <w:p w14:paraId="25920568" w14:textId="77777777" w:rsidR="00453C10" w:rsidRDefault="00453C10" w:rsidP="00085620">
      <w:pPr>
        <w:rPr>
          <w:b/>
          <w:bCs/>
        </w:rPr>
      </w:pPr>
    </w:p>
    <w:p w14:paraId="181D6469" w14:textId="77777777" w:rsidR="001B25CB" w:rsidRDefault="001B25CB" w:rsidP="001B25CB">
      <w:pPr>
        <w:jc w:val="right"/>
      </w:pPr>
      <w:r w:rsidRPr="007B0D90">
        <w:rPr>
          <w:sz w:val="20"/>
          <w:szCs w:val="20"/>
        </w:rPr>
        <w:t>Proračun 202</w:t>
      </w:r>
      <w:r>
        <w:rPr>
          <w:sz w:val="20"/>
          <w:szCs w:val="20"/>
        </w:rPr>
        <w:t>5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6</w:t>
      </w:r>
      <w:r w:rsidRPr="007B0D90">
        <w:rPr>
          <w:sz w:val="20"/>
          <w:szCs w:val="20"/>
        </w:rPr>
        <w:t>.</w:t>
      </w:r>
      <w:r w:rsidRPr="007B0D90">
        <w:rPr>
          <w:sz w:val="20"/>
          <w:szCs w:val="20"/>
        </w:rPr>
        <w:tab/>
        <w:t>Projekcija 202</w:t>
      </w:r>
      <w:r>
        <w:rPr>
          <w:sz w:val="20"/>
          <w:szCs w:val="20"/>
        </w:rPr>
        <w:t>7</w:t>
      </w:r>
      <w:r w:rsidRPr="007B0D90">
        <w:rPr>
          <w:sz w:val="20"/>
          <w:szCs w:val="20"/>
        </w:rPr>
        <w:t>.</w:t>
      </w:r>
    </w:p>
    <w:p w14:paraId="6E6A5F03" w14:textId="77777777" w:rsidR="001B25CB" w:rsidRDefault="001B25CB" w:rsidP="001B2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Izgradnja punionice za električne automobile</w:t>
      </w:r>
    </w:p>
    <w:p w14:paraId="3AA1D8D3" w14:textId="33A13540" w:rsidR="001B25CB" w:rsidRDefault="001B25CB" w:rsidP="001B25CB">
      <w:r>
        <w:rPr>
          <w:b/>
          <w:bCs/>
          <w:sz w:val="24"/>
          <w:szCs w:val="24"/>
        </w:rPr>
        <w:t>u Trilju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1825E79E" w14:textId="72D6439E" w:rsidR="001B25CB" w:rsidRDefault="001B25CB" w:rsidP="001B25CB">
      <w:r>
        <w:t>Rashodi za nabavu</w:t>
      </w:r>
      <w:r w:rsidR="00456727">
        <w:t xml:space="preserve"> nefinancijske imovine</w:t>
      </w:r>
      <w:r w:rsidR="00456727">
        <w:tab/>
      </w:r>
      <w:r>
        <w:tab/>
        <w:t>30.000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47B8AD24" w14:textId="77777777" w:rsidR="001B25CB" w:rsidRDefault="001B25CB" w:rsidP="001B25CB">
      <w:r>
        <w:t>Rashodi za nabavu proizvedene dugotrajne imovine</w:t>
      </w:r>
      <w:r>
        <w:tab/>
        <w:t>30.000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72A9876E" w14:textId="77777777" w:rsidR="001B25CB" w:rsidRDefault="001B25CB" w:rsidP="001B25CB">
      <w:r>
        <w:t>Pomoći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30.000</w:t>
      </w:r>
      <w:r>
        <w:tab/>
      </w:r>
      <w:r>
        <w:tab/>
      </w:r>
      <w:r>
        <w:tab/>
        <w:t>0</w:t>
      </w:r>
      <w:r>
        <w:tab/>
      </w:r>
      <w:r>
        <w:tab/>
        <w:t>0</w:t>
      </w:r>
    </w:p>
    <w:p w14:paraId="134811EF" w14:textId="137E8B41" w:rsidR="001B25CB" w:rsidRDefault="001B25CB" w:rsidP="001B25CB">
      <w:pPr>
        <w:rPr>
          <w:b/>
          <w:bCs/>
        </w:rPr>
      </w:pPr>
      <w:r w:rsidRPr="007B0D90">
        <w:rPr>
          <w:b/>
          <w:bCs/>
        </w:rPr>
        <w:t>Programom se planira</w:t>
      </w:r>
      <w:r>
        <w:rPr>
          <w:b/>
          <w:bCs/>
        </w:rPr>
        <w:t xml:space="preserve"> izgradnja dviju punionica za električna vozila na novom parkiralištu uz Cetinu i pokraj gradskog parka.</w:t>
      </w:r>
    </w:p>
    <w:p w14:paraId="66F3DA57" w14:textId="77777777" w:rsidR="00CE52B3" w:rsidRDefault="00CE52B3" w:rsidP="00A3663E">
      <w:pPr>
        <w:rPr>
          <w:b/>
          <w:bCs/>
        </w:rPr>
      </w:pPr>
    </w:p>
    <w:p w14:paraId="3C372F2E" w14:textId="77777777" w:rsidR="00CE52B3" w:rsidRDefault="00CE52B3" w:rsidP="00A3663E">
      <w:pPr>
        <w:rPr>
          <w:b/>
          <w:bCs/>
        </w:rPr>
      </w:pPr>
    </w:p>
    <w:p w14:paraId="520680E6" w14:textId="77777777" w:rsidR="00CE52B3" w:rsidRPr="007B0D90" w:rsidRDefault="00CE52B3" w:rsidP="00A3663E">
      <w:pPr>
        <w:rPr>
          <w:b/>
          <w:bCs/>
        </w:rPr>
      </w:pPr>
    </w:p>
    <w:tbl>
      <w:tblPr>
        <w:tblW w:w="8401" w:type="dxa"/>
        <w:tblInd w:w="284" w:type="dxa"/>
        <w:tblLook w:val="04A0" w:firstRow="1" w:lastRow="0" w:firstColumn="1" w:lastColumn="0" w:noHBand="0" w:noVBand="1"/>
      </w:tblPr>
      <w:tblGrid>
        <w:gridCol w:w="8124"/>
        <w:gridCol w:w="277"/>
      </w:tblGrid>
      <w:tr w:rsidR="004F5BA4" w14:paraId="7A0C2865" w14:textId="77777777" w:rsidTr="007B0D90">
        <w:trPr>
          <w:gridAfter w:val="1"/>
          <w:wAfter w:w="277" w:type="dxa"/>
          <w:trHeight w:val="315"/>
        </w:trPr>
        <w:tc>
          <w:tcPr>
            <w:tcW w:w="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D86C0" w14:textId="346B4DF4" w:rsidR="004F5BA4" w:rsidRPr="007B0D90" w:rsidRDefault="004F5BA4" w:rsidP="004F5BA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7B0D90">
              <w:rPr>
                <w:rFonts w:cs="Calibri"/>
                <w:b/>
                <w:bCs/>
                <w:sz w:val="24"/>
                <w:szCs w:val="24"/>
              </w:rPr>
              <w:t>ISKAZ FINANCIJSKIH SREDSTAVA I ZAVRŠNE ODREDBE</w:t>
            </w:r>
          </w:p>
          <w:p w14:paraId="296741C1" w14:textId="77777777" w:rsidR="004F5BA4" w:rsidRPr="007B0D90" w:rsidRDefault="004F5BA4" w:rsidP="004F5BA4">
            <w:pPr>
              <w:rPr>
                <w:rFonts w:ascii="Calibri" w:hAnsi="Calibri" w:cs="Calibri"/>
              </w:rPr>
            </w:pPr>
          </w:p>
          <w:p w14:paraId="79523FF5" w14:textId="77777777" w:rsidR="004F5BA4" w:rsidRPr="007B0D90" w:rsidRDefault="004F5BA4" w:rsidP="004F5BA4">
            <w:pPr>
              <w:jc w:val="center"/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Članak 3.</w:t>
            </w:r>
          </w:p>
          <w:p w14:paraId="582B3796" w14:textId="77777777" w:rsidR="004F5BA4" w:rsidRPr="007B0D90" w:rsidRDefault="004F5BA4" w:rsidP="004F5BA4">
            <w:pPr>
              <w:jc w:val="both"/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Zbirni iskaz financijskih sredstava za gradnju objekata i uređaja, navedenih u popisu poslova s procjenom troškova građenja, je slijedeći:</w:t>
            </w:r>
          </w:p>
          <w:p w14:paraId="0D005B8C" w14:textId="77777777" w:rsidR="004F5BA4" w:rsidRPr="007B0D90" w:rsidRDefault="004F5BA4" w:rsidP="004F5BA4">
            <w:pPr>
              <w:jc w:val="both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02"/>
              <w:gridCol w:w="1896"/>
            </w:tblGrid>
            <w:tr w:rsidR="004F5BA4" w:rsidRPr="007B0D90" w14:paraId="15ED04D9" w14:textId="77777777" w:rsidTr="007B0D90">
              <w:trPr>
                <w:trHeight w:val="828"/>
              </w:trPr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61C4CC78" w14:textId="77777777" w:rsidR="004F5BA4" w:rsidRPr="007B0D90" w:rsidRDefault="004F5BA4" w:rsidP="004F5BA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55E503CA" w14:textId="77777777" w:rsidR="004F5BA4" w:rsidRPr="007B0D90" w:rsidRDefault="004F5BA4" w:rsidP="004F5BA4">
                  <w:pPr>
                    <w:pStyle w:val="Naslov2"/>
                    <w:jc w:val="both"/>
                    <w:rPr>
                      <w:rFonts w:ascii="Calibri" w:hAnsi="Calibri" w:cs="Calibri"/>
                      <w:bCs w:val="0"/>
                    </w:rPr>
                  </w:pPr>
                  <w:r w:rsidRPr="007B0D90">
                    <w:rPr>
                      <w:rFonts w:ascii="Calibri" w:hAnsi="Calibri" w:cs="Calibri"/>
                      <w:bCs w:val="0"/>
                    </w:rPr>
                    <w:t>Izvor financijskih sredstava</w:t>
                  </w:r>
                </w:p>
                <w:p w14:paraId="4DCF4150" w14:textId="77777777" w:rsidR="004F5BA4" w:rsidRPr="007B0D90" w:rsidRDefault="004F5BA4" w:rsidP="004F5BA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2309673E" w14:textId="77777777" w:rsidR="004F5BA4" w:rsidRPr="007B0D90" w:rsidRDefault="004F5BA4" w:rsidP="004F5BA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3ACA6C72" w14:textId="77777777" w:rsidR="004F5BA4" w:rsidRPr="007B0D90" w:rsidRDefault="004F5BA4" w:rsidP="004F5BA4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7B0D90">
                    <w:rPr>
                      <w:rFonts w:ascii="Calibri" w:hAnsi="Calibri" w:cs="Calibri"/>
                      <w:b/>
                    </w:rPr>
                    <w:t>Iznos</w:t>
                  </w:r>
                </w:p>
                <w:p w14:paraId="02AF30BA" w14:textId="77777777" w:rsidR="004F5BA4" w:rsidRPr="007B0D90" w:rsidRDefault="004F5BA4" w:rsidP="004F5BA4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5746B0" w:rsidRPr="007B0D90" w14:paraId="53ADA7FF" w14:textId="77777777" w:rsidTr="00F84B0A">
              <w:tc>
                <w:tcPr>
                  <w:tcW w:w="6152" w:type="dxa"/>
                  <w:tcBorders>
                    <w:top w:val="single" w:sz="4" w:space="0" w:color="auto"/>
                  </w:tcBorders>
                  <w:vAlign w:val="bottom"/>
                </w:tcPr>
                <w:p w14:paraId="40DFB1EE" w14:textId="423D3F15" w:rsidR="005746B0" w:rsidRPr="007B0D90" w:rsidRDefault="005746B0" w:rsidP="005746B0">
                  <w:pPr>
                    <w:jc w:val="both"/>
                    <w:rPr>
                      <w:rFonts w:ascii="Calibri" w:hAnsi="Calibri" w:cs="Calibri"/>
                    </w:rPr>
                  </w:pPr>
                  <w:r w:rsidRPr="007B0D90">
                    <w:rPr>
                      <w:rFonts w:ascii="Calibri" w:hAnsi="Calibri" w:cs="Calibri"/>
                      <w:i/>
                      <w:iCs/>
                      <w:color w:val="000000"/>
                    </w:rPr>
                    <w:t>Opći prihodi i primici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</w:tcBorders>
                  <w:vAlign w:val="bottom"/>
                </w:tcPr>
                <w:p w14:paraId="60B9D1AC" w14:textId="6906A55C" w:rsidR="005746B0" w:rsidRPr="007B0D90" w:rsidRDefault="001E1FD8" w:rsidP="005746B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  <w:r w:rsidR="00776FCC">
                    <w:rPr>
                      <w:rFonts w:ascii="Calibri" w:hAnsi="Calibri" w:cs="Calibri"/>
                      <w:color w:val="000000"/>
                    </w:rPr>
                    <w:t>4</w:t>
                  </w:r>
                  <w:r w:rsidR="005746B0" w:rsidRPr="007B0D90">
                    <w:rPr>
                      <w:rFonts w:ascii="Calibri" w:hAnsi="Calibri" w:cs="Calibri"/>
                      <w:color w:val="000000"/>
                    </w:rPr>
                    <w:t>.000</w:t>
                  </w:r>
                </w:p>
              </w:tc>
            </w:tr>
            <w:tr w:rsidR="005746B0" w:rsidRPr="007B0D90" w14:paraId="04825E69" w14:textId="77777777" w:rsidTr="00F84B0A">
              <w:tc>
                <w:tcPr>
                  <w:tcW w:w="6152" w:type="dxa"/>
                  <w:tcBorders>
                    <w:top w:val="single" w:sz="4" w:space="0" w:color="auto"/>
                  </w:tcBorders>
                  <w:vAlign w:val="bottom"/>
                </w:tcPr>
                <w:p w14:paraId="4812CCC9" w14:textId="0F09A719" w:rsidR="005746B0" w:rsidRPr="007B0D90" w:rsidRDefault="005746B0" w:rsidP="005746B0">
                  <w:pPr>
                    <w:jc w:val="both"/>
                    <w:rPr>
                      <w:rFonts w:ascii="Calibri" w:hAnsi="Calibri" w:cs="Calibri"/>
                    </w:rPr>
                  </w:pPr>
                  <w:r w:rsidRPr="007B0D90">
                    <w:rPr>
                      <w:rFonts w:ascii="Calibri" w:hAnsi="Calibri" w:cs="Calibri"/>
                      <w:i/>
                      <w:iCs/>
                      <w:color w:val="000000"/>
                    </w:rPr>
                    <w:t>Prihodi za posebne namjene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</w:tcBorders>
                  <w:vAlign w:val="bottom"/>
                </w:tcPr>
                <w:p w14:paraId="14470B1F" w14:textId="1D5C392A" w:rsidR="005746B0" w:rsidRPr="007B0D90" w:rsidRDefault="00776FCC" w:rsidP="005746B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277.000</w:t>
                  </w:r>
                </w:p>
              </w:tc>
            </w:tr>
            <w:tr w:rsidR="005746B0" w:rsidRPr="007B0D90" w14:paraId="13937C57" w14:textId="77777777" w:rsidTr="00F84B0A">
              <w:tc>
                <w:tcPr>
                  <w:tcW w:w="6152" w:type="dxa"/>
                  <w:tcBorders>
                    <w:top w:val="single" w:sz="4" w:space="0" w:color="auto"/>
                  </w:tcBorders>
                  <w:vAlign w:val="bottom"/>
                </w:tcPr>
                <w:p w14:paraId="186C93D3" w14:textId="15A870E3" w:rsidR="005746B0" w:rsidRPr="007B0D90" w:rsidRDefault="00776FCC" w:rsidP="005746B0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Komunalni doprinos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</w:tcBorders>
                  <w:vAlign w:val="bottom"/>
                </w:tcPr>
                <w:p w14:paraId="186FC98A" w14:textId="37848FC6" w:rsidR="005746B0" w:rsidRPr="007B0D90" w:rsidRDefault="00776FCC" w:rsidP="005746B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30.000</w:t>
                  </w:r>
                </w:p>
              </w:tc>
            </w:tr>
            <w:tr w:rsidR="005746B0" w:rsidRPr="007B0D90" w14:paraId="7F3EF772" w14:textId="77777777" w:rsidTr="00F84B0A">
              <w:tc>
                <w:tcPr>
                  <w:tcW w:w="61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C15DAD7" w14:textId="222C5F84" w:rsidR="005746B0" w:rsidRPr="007B0D90" w:rsidRDefault="005746B0" w:rsidP="005746B0">
                  <w:pPr>
                    <w:jc w:val="both"/>
                    <w:rPr>
                      <w:rFonts w:ascii="Calibri" w:hAnsi="Calibri" w:cs="Calibri"/>
                    </w:rPr>
                  </w:pPr>
                  <w:r w:rsidRPr="007B0D90">
                    <w:rPr>
                      <w:rFonts w:ascii="Calibri" w:hAnsi="Calibri" w:cs="Calibri"/>
                      <w:i/>
                      <w:iCs/>
                      <w:color w:val="000000"/>
                    </w:rPr>
                    <w:t>Pomoći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793DA7" w14:textId="6B7604E3" w:rsidR="005746B0" w:rsidRPr="007B0D90" w:rsidRDefault="00776FCC" w:rsidP="005746B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1.871.700</w:t>
                  </w:r>
                </w:p>
              </w:tc>
            </w:tr>
            <w:tr w:rsidR="005746B0" w:rsidRPr="007B0D90" w14:paraId="65275A24" w14:textId="77777777" w:rsidTr="00F84B0A">
              <w:tc>
                <w:tcPr>
                  <w:tcW w:w="61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A7D111" w14:textId="1DE778DB" w:rsidR="005746B0" w:rsidRPr="007B0D90" w:rsidRDefault="005746B0" w:rsidP="005746B0">
                  <w:pPr>
                    <w:jc w:val="both"/>
                    <w:rPr>
                      <w:rFonts w:ascii="Calibri" w:hAnsi="Calibri" w:cs="Calibri"/>
                    </w:rPr>
                  </w:pPr>
                  <w:r w:rsidRPr="007B0D90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Prihodi od prodaje </w:t>
                  </w:r>
                  <w:proofErr w:type="spellStart"/>
                  <w:r w:rsidRPr="007B0D90">
                    <w:rPr>
                      <w:rFonts w:ascii="Calibri" w:hAnsi="Calibri" w:cs="Calibri"/>
                      <w:i/>
                      <w:iCs/>
                      <w:color w:val="000000"/>
                    </w:rPr>
                    <w:t>neproizvedene</w:t>
                  </w:r>
                  <w:proofErr w:type="spellEnd"/>
                  <w:r w:rsidRPr="007B0D90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 dugotrajne imovine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A0C4E5F" w14:textId="702D082F" w:rsidR="005746B0" w:rsidRPr="007B0D90" w:rsidRDefault="00AC2F51" w:rsidP="005746B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  <w:r w:rsidR="00776FCC">
                    <w:rPr>
                      <w:rFonts w:ascii="Calibri" w:hAnsi="Calibri" w:cs="Calibri"/>
                    </w:rPr>
                    <w:t>70</w:t>
                  </w:r>
                  <w:r w:rsidR="005746B0" w:rsidRPr="007B0D90">
                    <w:rPr>
                      <w:rFonts w:ascii="Calibri" w:hAnsi="Calibri" w:cs="Calibri"/>
                    </w:rPr>
                    <w:t>.000</w:t>
                  </w:r>
                </w:p>
              </w:tc>
            </w:tr>
            <w:tr w:rsidR="005746B0" w:rsidRPr="007B0D90" w14:paraId="01568817" w14:textId="77777777" w:rsidTr="00F84B0A">
              <w:tc>
                <w:tcPr>
                  <w:tcW w:w="61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1BA09CB" w14:textId="0BF59B5C" w:rsidR="005746B0" w:rsidRPr="007B0D90" w:rsidRDefault="005746B0" w:rsidP="005746B0">
                  <w:pPr>
                    <w:jc w:val="both"/>
                    <w:rPr>
                      <w:rFonts w:ascii="Calibri" w:hAnsi="Calibri" w:cs="Calibri"/>
                    </w:rPr>
                  </w:pPr>
                  <w:r w:rsidRPr="007B0D90">
                    <w:rPr>
                      <w:rFonts w:ascii="Calibri" w:hAnsi="Calibri" w:cs="Calibri"/>
                      <w:i/>
                      <w:iCs/>
                      <w:color w:val="000000"/>
                    </w:rPr>
                    <w:t>Prihodi od prodaje proizvedene dugotrajne imovine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9168E1B" w14:textId="33986FE3" w:rsidR="005746B0" w:rsidRPr="007B0D90" w:rsidRDefault="00AC2F51" w:rsidP="005746B0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</w:t>
                  </w:r>
                  <w:r w:rsidR="00776FCC">
                    <w:rPr>
                      <w:rFonts w:ascii="Calibri" w:hAnsi="Calibri" w:cs="Calibri"/>
                      <w:color w:val="000000"/>
                    </w:rPr>
                    <w:t>30</w:t>
                  </w:r>
                  <w:r w:rsidR="005746B0" w:rsidRPr="007B0D90">
                    <w:rPr>
                      <w:rFonts w:ascii="Calibri" w:hAnsi="Calibri" w:cs="Calibri"/>
                      <w:color w:val="000000"/>
                    </w:rPr>
                    <w:t>.000</w:t>
                  </w:r>
                </w:p>
              </w:tc>
            </w:tr>
            <w:tr w:rsidR="00776FCC" w:rsidRPr="007B0D90" w14:paraId="70A72424" w14:textId="77777777" w:rsidTr="00F84B0A">
              <w:tc>
                <w:tcPr>
                  <w:tcW w:w="61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954BE81" w14:textId="5C6E35F3" w:rsidR="00776FCC" w:rsidRPr="007B0D90" w:rsidRDefault="00776FCC" w:rsidP="005746B0">
                  <w:pPr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Namjenski primici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31D287D" w14:textId="0EB1D083" w:rsidR="00776FCC" w:rsidRDefault="00776FCC" w:rsidP="005746B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1.617.000</w:t>
                  </w:r>
                </w:p>
              </w:tc>
            </w:tr>
            <w:tr w:rsidR="00776FCC" w:rsidRPr="007B0D90" w14:paraId="44F4A5F7" w14:textId="77777777" w:rsidTr="00F84B0A">
              <w:tc>
                <w:tcPr>
                  <w:tcW w:w="61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0F7BC68" w14:textId="6274BB54" w:rsidR="00776FCC" w:rsidRDefault="00776FCC" w:rsidP="005746B0">
                  <w:pPr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Sufinanciranje cijene usluge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B039EED" w14:textId="504489BD" w:rsidR="00776FCC" w:rsidRDefault="00776FCC" w:rsidP="005746B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33.000</w:t>
                  </w:r>
                </w:p>
              </w:tc>
            </w:tr>
            <w:tr w:rsidR="002118C0" w:rsidRPr="007B0D90" w14:paraId="49C7E19E" w14:textId="77777777" w:rsidTr="005746B0">
              <w:trPr>
                <w:trHeight w:val="376"/>
              </w:trPr>
              <w:tc>
                <w:tcPr>
                  <w:tcW w:w="6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6A01CC2" w14:textId="0704F961" w:rsidR="002118C0" w:rsidRPr="007B0D90" w:rsidRDefault="002118C0" w:rsidP="002118C0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7B0D90">
                    <w:rPr>
                      <w:rFonts w:ascii="Calibri" w:hAnsi="Calibri" w:cs="Calibri"/>
                      <w:b/>
                    </w:rPr>
                    <w:t>UKUPNO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2D3FE18" w14:textId="14A5FC8A" w:rsidR="002118C0" w:rsidRPr="007B0D90" w:rsidRDefault="00776FCC" w:rsidP="005746B0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4.</w:t>
                  </w:r>
                  <w:r w:rsidR="007657F0">
                    <w:rPr>
                      <w:rFonts w:ascii="Calibri" w:hAnsi="Calibri" w:cs="Calibri"/>
                      <w:i/>
                      <w:iCs/>
                      <w:color w:val="000000"/>
                    </w:rPr>
                    <w:t>4</w:t>
                  </w:r>
                  <w:r w:rsidR="003D32EB">
                    <w:rPr>
                      <w:rFonts w:ascii="Calibri" w:hAnsi="Calibri" w:cs="Calibri"/>
                      <w:i/>
                      <w:iCs/>
                      <w:color w:val="000000"/>
                    </w:rPr>
                    <w:t>5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2.700</w:t>
                  </w:r>
                </w:p>
              </w:tc>
            </w:tr>
          </w:tbl>
          <w:p w14:paraId="142750D4" w14:textId="77777777" w:rsidR="004F5BA4" w:rsidRPr="007B0D90" w:rsidRDefault="004F5BA4" w:rsidP="004F5BA4">
            <w:pPr>
              <w:rPr>
                <w:rFonts w:ascii="Calibri" w:hAnsi="Calibri" w:cs="Calibri"/>
              </w:rPr>
            </w:pPr>
          </w:p>
          <w:p w14:paraId="4354941B" w14:textId="77777777" w:rsidR="004F5BA4" w:rsidRPr="007B0D90" w:rsidRDefault="004F5BA4" w:rsidP="004F5BA4">
            <w:pPr>
              <w:jc w:val="center"/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Članak 4.</w:t>
            </w:r>
          </w:p>
          <w:p w14:paraId="2C9CDADC" w14:textId="77777777" w:rsidR="004F5BA4" w:rsidRPr="007B0D90" w:rsidRDefault="004F5BA4" w:rsidP="004F5BA4">
            <w:pPr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Kroz ovaj Program svi iznosi prikazani su isključivo u eurima.</w:t>
            </w:r>
          </w:p>
          <w:p w14:paraId="1884E57E" w14:textId="77777777" w:rsidR="004F5BA4" w:rsidRPr="007B0D90" w:rsidRDefault="004F5BA4" w:rsidP="004F5BA4">
            <w:pPr>
              <w:rPr>
                <w:rFonts w:ascii="Calibri" w:hAnsi="Calibri" w:cs="Calibri"/>
              </w:rPr>
            </w:pPr>
          </w:p>
          <w:p w14:paraId="3D64D5C3" w14:textId="77777777" w:rsidR="004F5BA4" w:rsidRPr="007B0D90" w:rsidRDefault="004F5BA4" w:rsidP="004F5BA4">
            <w:pPr>
              <w:jc w:val="center"/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Članak 5.</w:t>
            </w:r>
          </w:p>
          <w:p w14:paraId="4501147E" w14:textId="0A02A6EB" w:rsidR="004F5BA4" w:rsidRPr="007B0D90" w:rsidRDefault="004F5BA4" w:rsidP="004F5BA4">
            <w:pPr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Ovaj Program stupa na snagu osmog dana od dana objave u „Službenom glasniku Grada Trilja“, a primjenjuje se od 01. siječnja 202</w:t>
            </w:r>
            <w:r w:rsidR="000B72DC">
              <w:rPr>
                <w:rFonts w:ascii="Calibri" w:hAnsi="Calibri" w:cs="Calibri"/>
              </w:rPr>
              <w:t>5</w:t>
            </w:r>
            <w:r w:rsidRPr="007B0D90">
              <w:rPr>
                <w:rFonts w:ascii="Calibri" w:hAnsi="Calibri" w:cs="Calibri"/>
              </w:rPr>
              <w:t>. godine.</w:t>
            </w:r>
          </w:p>
          <w:p w14:paraId="557BF4D2" w14:textId="77777777" w:rsidR="004F5BA4" w:rsidRPr="007B0D90" w:rsidRDefault="004F5BA4" w:rsidP="004F5BA4">
            <w:pPr>
              <w:rPr>
                <w:rFonts w:ascii="Calibri" w:hAnsi="Calibri" w:cs="Calibri"/>
              </w:rPr>
            </w:pPr>
          </w:p>
          <w:p w14:paraId="0F6C0E55" w14:textId="77777777" w:rsidR="004F5BA4" w:rsidRPr="007B0D90" w:rsidRDefault="004F5BA4" w:rsidP="004F5BA4">
            <w:pPr>
              <w:rPr>
                <w:rFonts w:ascii="Calibri" w:hAnsi="Calibri" w:cs="Calibri"/>
                <w:b/>
                <w:bCs/>
              </w:rPr>
            </w:pPr>
            <w:r w:rsidRPr="007B0D90">
              <w:rPr>
                <w:rFonts w:ascii="Calibri" w:hAnsi="Calibri" w:cs="Calibri"/>
                <w:b/>
                <w:bCs/>
              </w:rPr>
              <w:t xml:space="preserve">REPUBLIKA HRVATSKA </w:t>
            </w:r>
          </w:p>
          <w:p w14:paraId="3F6E97E3" w14:textId="77777777" w:rsidR="004F5BA4" w:rsidRPr="007B0D90" w:rsidRDefault="004F5BA4" w:rsidP="004F5BA4">
            <w:pPr>
              <w:rPr>
                <w:rFonts w:ascii="Calibri" w:hAnsi="Calibri" w:cs="Calibri"/>
                <w:b/>
                <w:bCs/>
              </w:rPr>
            </w:pPr>
            <w:r w:rsidRPr="007B0D90">
              <w:rPr>
                <w:rFonts w:ascii="Calibri" w:hAnsi="Calibri" w:cs="Calibri"/>
                <w:b/>
                <w:bCs/>
              </w:rPr>
              <w:t>SPLITSKO-DALMATINSKA ŽUPANIJA</w:t>
            </w:r>
          </w:p>
          <w:p w14:paraId="10C5C479" w14:textId="77777777" w:rsidR="004F5BA4" w:rsidRPr="007B0D90" w:rsidRDefault="004F5BA4" w:rsidP="004F5BA4">
            <w:pPr>
              <w:rPr>
                <w:rFonts w:ascii="Calibri" w:hAnsi="Calibri" w:cs="Calibri"/>
                <w:b/>
                <w:bCs/>
              </w:rPr>
            </w:pPr>
            <w:r w:rsidRPr="007B0D90">
              <w:rPr>
                <w:rFonts w:ascii="Calibri" w:hAnsi="Calibri" w:cs="Calibri"/>
                <w:b/>
                <w:bCs/>
              </w:rPr>
              <w:t>GRAD TRILJ</w:t>
            </w:r>
          </w:p>
          <w:p w14:paraId="0E0F03BE" w14:textId="77777777" w:rsidR="004F5BA4" w:rsidRPr="007B0D90" w:rsidRDefault="004F5BA4" w:rsidP="004F5BA4">
            <w:pPr>
              <w:rPr>
                <w:rFonts w:ascii="Calibri" w:hAnsi="Calibri" w:cs="Calibri"/>
                <w:b/>
                <w:bCs/>
              </w:rPr>
            </w:pPr>
            <w:r w:rsidRPr="007B0D90">
              <w:rPr>
                <w:rFonts w:ascii="Calibri" w:hAnsi="Calibri" w:cs="Calibri"/>
                <w:b/>
                <w:bCs/>
              </w:rPr>
              <w:t>GRADSKO VIJEĆE</w:t>
            </w:r>
          </w:p>
          <w:p w14:paraId="710F42D2" w14:textId="7C842712" w:rsidR="004F5BA4" w:rsidRPr="007B0D90" w:rsidRDefault="004F5BA4" w:rsidP="004F5BA4">
            <w:pPr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KLASA: 021-05/2</w:t>
            </w:r>
            <w:r w:rsidR="001B138C">
              <w:rPr>
                <w:rFonts w:ascii="Calibri" w:hAnsi="Calibri" w:cs="Calibri"/>
              </w:rPr>
              <w:t>5</w:t>
            </w:r>
            <w:r w:rsidRPr="007B0D90">
              <w:rPr>
                <w:rFonts w:ascii="Calibri" w:hAnsi="Calibri" w:cs="Calibri"/>
              </w:rPr>
              <w:t>-01/___</w:t>
            </w:r>
          </w:p>
          <w:p w14:paraId="71837855" w14:textId="32B3E9BD" w:rsidR="004F5BA4" w:rsidRPr="007B0D90" w:rsidRDefault="004F5BA4" w:rsidP="004F5BA4">
            <w:pPr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URBROJ:2181-12-01-2</w:t>
            </w:r>
            <w:r w:rsidR="001B138C">
              <w:rPr>
                <w:rFonts w:ascii="Calibri" w:hAnsi="Calibri" w:cs="Calibri"/>
              </w:rPr>
              <w:t>5</w:t>
            </w:r>
            <w:r w:rsidRPr="007B0D90">
              <w:rPr>
                <w:rFonts w:ascii="Calibri" w:hAnsi="Calibri" w:cs="Calibri"/>
              </w:rPr>
              <w:t>-01</w:t>
            </w:r>
          </w:p>
          <w:p w14:paraId="5BAC536E" w14:textId="0D45FFCC" w:rsidR="004F5BA4" w:rsidRDefault="004F5BA4" w:rsidP="004F5BA4">
            <w:pPr>
              <w:rPr>
                <w:rFonts w:ascii="Calibri" w:hAnsi="Calibri" w:cs="Calibri"/>
              </w:rPr>
            </w:pPr>
            <w:r w:rsidRPr="007B0D90">
              <w:rPr>
                <w:rFonts w:ascii="Calibri" w:hAnsi="Calibri" w:cs="Calibri"/>
              </w:rPr>
              <w:t>TRILJ,________________ 202</w:t>
            </w:r>
            <w:r w:rsidR="001B138C">
              <w:rPr>
                <w:rFonts w:ascii="Calibri" w:hAnsi="Calibri" w:cs="Calibri"/>
              </w:rPr>
              <w:t>5</w:t>
            </w:r>
            <w:r w:rsidRPr="007B0D90">
              <w:rPr>
                <w:rFonts w:ascii="Calibri" w:hAnsi="Calibri" w:cs="Calibri"/>
              </w:rPr>
              <w:t>. god.</w:t>
            </w:r>
          </w:p>
          <w:p w14:paraId="58D838E9" w14:textId="066CD18D" w:rsidR="004F5BA4" w:rsidRDefault="004F5BA4" w:rsidP="005A3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5BA4" w14:paraId="2DCA9F59" w14:textId="77777777" w:rsidTr="007B0D90">
        <w:trPr>
          <w:trHeight w:val="315"/>
        </w:trPr>
        <w:tc>
          <w:tcPr>
            <w:tcW w:w="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5792" w14:textId="77777777" w:rsidR="004F5BA4" w:rsidRDefault="004F5BA4" w:rsidP="005A3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                                                                                 PREDSJEDNIK GRADSKOG VIJEĆA</w:t>
            </w:r>
          </w:p>
        </w:tc>
        <w:tc>
          <w:tcPr>
            <w:tcW w:w="277" w:type="dxa"/>
            <w:vAlign w:val="center"/>
            <w:hideMark/>
          </w:tcPr>
          <w:p w14:paraId="648A6ED4" w14:textId="77777777" w:rsidR="004F5BA4" w:rsidRDefault="004F5BA4" w:rsidP="005A3738">
            <w:pPr>
              <w:rPr>
                <w:sz w:val="20"/>
                <w:szCs w:val="20"/>
              </w:rPr>
            </w:pPr>
          </w:p>
        </w:tc>
      </w:tr>
      <w:tr w:rsidR="004F5BA4" w14:paraId="41AA1844" w14:textId="77777777" w:rsidTr="007B0D90">
        <w:trPr>
          <w:trHeight w:val="315"/>
        </w:trPr>
        <w:tc>
          <w:tcPr>
            <w:tcW w:w="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D520" w14:textId="77777777" w:rsidR="004F5BA4" w:rsidRDefault="004F5BA4" w:rsidP="005A3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GRADA TRILJA</w:t>
            </w:r>
          </w:p>
        </w:tc>
        <w:tc>
          <w:tcPr>
            <w:tcW w:w="277" w:type="dxa"/>
            <w:vAlign w:val="center"/>
            <w:hideMark/>
          </w:tcPr>
          <w:p w14:paraId="7EB00483" w14:textId="77777777" w:rsidR="004F5BA4" w:rsidRDefault="004F5BA4" w:rsidP="005A3738">
            <w:pPr>
              <w:rPr>
                <w:sz w:val="20"/>
                <w:szCs w:val="20"/>
              </w:rPr>
            </w:pPr>
          </w:p>
        </w:tc>
      </w:tr>
      <w:tr w:rsidR="004F5BA4" w14:paraId="66AD9741" w14:textId="77777777" w:rsidTr="007B0D90">
        <w:trPr>
          <w:trHeight w:val="315"/>
        </w:trPr>
        <w:tc>
          <w:tcPr>
            <w:tcW w:w="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BA27" w14:textId="600E13E8" w:rsidR="004F5BA4" w:rsidRDefault="004F5BA4" w:rsidP="005A3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</w:t>
            </w:r>
            <w:r w:rsidR="00A11569">
              <w:rPr>
                <w:rFonts w:ascii="Calibri" w:hAnsi="Calibri" w:cs="Calibri"/>
                <w:color w:val="000000"/>
              </w:rPr>
              <w:t>Miljenko Marić</w:t>
            </w:r>
            <w:r w:rsidR="000B72DC">
              <w:rPr>
                <w:rFonts w:ascii="Calibri" w:hAnsi="Calibri" w:cs="Calibri"/>
                <w:color w:val="000000"/>
              </w:rPr>
              <w:t>, prof.</w:t>
            </w:r>
          </w:p>
        </w:tc>
        <w:tc>
          <w:tcPr>
            <w:tcW w:w="277" w:type="dxa"/>
            <w:vAlign w:val="center"/>
            <w:hideMark/>
          </w:tcPr>
          <w:p w14:paraId="66FF2EA6" w14:textId="77777777" w:rsidR="004F5BA4" w:rsidRDefault="004F5BA4" w:rsidP="005A3738">
            <w:pPr>
              <w:rPr>
                <w:sz w:val="20"/>
                <w:szCs w:val="20"/>
              </w:rPr>
            </w:pPr>
          </w:p>
        </w:tc>
      </w:tr>
    </w:tbl>
    <w:p w14:paraId="164A9C8E" w14:textId="77777777" w:rsidR="000C24FC" w:rsidRPr="00A3663E" w:rsidRDefault="000C24FC" w:rsidP="00CE52B3"/>
    <w:sectPr w:rsidR="000C24FC" w:rsidRPr="00A3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A27246B"/>
    <w:multiLevelType w:val="singleLevel"/>
    <w:tmpl w:val="0000000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49300067"/>
    <w:multiLevelType w:val="hybridMultilevel"/>
    <w:tmpl w:val="EEF8258E"/>
    <w:lvl w:ilvl="0" w:tplc="3CB0A3C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1968">
    <w:abstractNumId w:val="0"/>
  </w:num>
  <w:num w:numId="2" w16cid:durableId="1387676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32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3B"/>
    <w:rsid w:val="00001DDD"/>
    <w:rsid w:val="0001177A"/>
    <w:rsid w:val="00020564"/>
    <w:rsid w:val="0007173B"/>
    <w:rsid w:val="00085620"/>
    <w:rsid w:val="000A0090"/>
    <w:rsid w:val="000A30E0"/>
    <w:rsid w:val="000B72DC"/>
    <w:rsid w:val="000C24FC"/>
    <w:rsid w:val="000F361B"/>
    <w:rsid w:val="000F484A"/>
    <w:rsid w:val="001222E1"/>
    <w:rsid w:val="00145EB2"/>
    <w:rsid w:val="001B138C"/>
    <w:rsid w:val="001B25CB"/>
    <w:rsid w:val="001D5DDB"/>
    <w:rsid w:val="001E1FD8"/>
    <w:rsid w:val="002118C0"/>
    <w:rsid w:val="002A176A"/>
    <w:rsid w:val="002A5726"/>
    <w:rsid w:val="002B08A6"/>
    <w:rsid w:val="002F479E"/>
    <w:rsid w:val="002F6215"/>
    <w:rsid w:val="00305504"/>
    <w:rsid w:val="00350264"/>
    <w:rsid w:val="00384CF8"/>
    <w:rsid w:val="003D32EB"/>
    <w:rsid w:val="00422FA0"/>
    <w:rsid w:val="00431705"/>
    <w:rsid w:val="004322CF"/>
    <w:rsid w:val="00444A7D"/>
    <w:rsid w:val="00453C10"/>
    <w:rsid w:val="00456727"/>
    <w:rsid w:val="004567E6"/>
    <w:rsid w:val="00461740"/>
    <w:rsid w:val="004A3C92"/>
    <w:rsid w:val="004C69EE"/>
    <w:rsid w:val="004F47A6"/>
    <w:rsid w:val="004F5BA4"/>
    <w:rsid w:val="005053B1"/>
    <w:rsid w:val="00515BA3"/>
    <w:rsid w:val="0053042A"/>
    <w:rsid w:val="00567EDA"/>
    <w:rsid w:val="005737E7"/>
    <w:rsid w:val="005746B0"/>
    <w:rsid w:val="005A2630"/>
    <w:rsid w:val="005E7DC5"/>
    <w:rsid w:val="00657427"/>
    <w:rsid w:val="0069750E"/>
    <w:rsid w:val="006A1453"/>
    <w:rsid w:val="00735797"/>
    <w:rsid w:val="007657F0"/>
    <w:rsid w:val="00776FCC"/>
    <w:rsid w:val="00782A87"/>
    <w:rsid w:val="007957A1"/>
    <w:rsid w:val="007A13F8"/>
    <w:rsid w:val="007A4C46"/>
    <w:rsid w:val="007B0D90"/>
    <w:rsid w:val="008313A8"/>
    <w:rsid w:val="00837930"/>
    <w:rsid w:val="00842D29"/>
    <w:rsid w:val="00853005"/>
    <w:rsid w:val="00864B93"/>
    <w:rsid w:val="00872DB9"/>
    <w:rsid w:val="0087408D"/>
    <w:rsid w:val="008C26AD"/>
    <w:rsid w:val="008C3787"/>
    <w:rsid w:val="008D2330"/>
    <w:rsid w:val="008D57DD"/>
    <w:rsid w:val="00932916"/>
    <w:rsid w:val="00946C9B"/>
    <w:rsid w:val="009B71CE"/>
    <w:rsid w:val="009E3562"/>
    <w:rsid w:val="00A11569"/>
    <w:rsid w:val="00A3663E"/>
    <w:rsid w:val="00A36BBE"/>
    <w:rsid w:val="00A41B0D"/>
    <w:rsid w:val="00A65462"/>
    <w:rsid w:val="00A9466B"/>
    <w:rsid w:val="00AC2F51"/>
    <w:rsid w:val="00AE5C45"/>
    <w:rsid w:val="00B515F1"/>
    <w:rsid w:val="00B72EE9"/>
    <w:rsid w:val="00C1012F"/>
    <w:rsid w:val="00C320CE"/>
    <w:rsid w:val="00C34DD6"/>
    <w:rsid w:val="00C43EAD"/>
    <w:rsid w:val="00CB3CEB"/>
    <w:rsid w:val="00CC332E"/>
    <w:rsid w:val="00CE52B3"/>
    <w:rsid w:val="00CE5DD3"/>
    <w:rsid w:val="00D0131C"/>
    <w:rsid w:val="00D13E89"/>
    <w:rsid w:val="00D37133"/>
    <w:rsid w:val="00D4665A"/>
    <w:rsid w:val="00D54F38"/>
    <w:rsid w:val="00D578BB"/>
    <w:rsid w:val="00D63B55"/>
    <w:rsid w:val="00D67FB5"/>
    <w:rsid w:val="00D87B90"/>
    <w:rsid w:val="00D90331"/>
    <w:rsid w:val="00DE7A81"/>
    <w:rsid w:val="00E16516"/>
    <w:rsid w:val="00E52DE7"/>
    <w:rsid w:val="00E53CB9"/>
    <w:rsid w:val="00EB4A0D"/>
    <w:rsid w:val="00EC4FEF"/>
    <w:rsid w:val="00EC769C"/>
    <w:rsid w:val="00F01234"/>
    <w:rsid w:val="00F01789"/>
    <w:rsid w:val="00F03D5E"/>
    <w:rsid w:val="00FA39B3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3A23"/>
  <w15:chartTrackingRefBased/>
  <w15:docId w15:val="{D002BE5F-EC77-428A-92CF-3D9EA67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4F5B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769C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Naslov2Char">
    <w:name w:val="Naslov 2 Char"/>
    <w:basedOn w:val="Zadanifontodlomka"/>
    <w:link w:val="Naslov2"/>
    <w:rsid w:val="004F5BA4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link w:val="NaslovChar"/>
    <w:qFormat/>
    <w:rsid w:val="004F5BA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character" w:customStyle="1" w:styleId="NaslovChar">
    <w:name w:val="Naslov Char"/>
    <w:basedOn w:val="Zadanifontodlomka"/>
    <w:link w:val="Naslov"/>
    <w:rsid w:val="004F5BA4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14BA-4575-4001-8B6C-575C5822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13</Pages>
  <Words>2542</Words>
  <Characters>14493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Domazet</dc:creator>
  <cp:keywords/>
  <dc:description/>
  <cp:lastModifiedBy>Marko Varvodić</cp:lastModifiedBy>
  <cp:revision>18</cp:revision>
  <cp:lastPrinted>2025-02-27T09:54:00Z</cp:lastPrinted>
  <dcterms:created xsi:type="dcterms:W3CDTF">2023-11-29T10:14:00Z</dcterms:created>
  <dcterms:modified xsi:type="dcterms:W3CDTF">2025-02-27T09:54:00Z</dcterms:modified>
</cp:coreProperties>
</file>