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5A5B9" w14:textId="77777777" w:rsidR="00624B82" w:rsidRPr="00D45B3E" w:rsidRDefault="00100C9A">
      <w:pPr>
        <w:spacing w:after="100"/>
        <w:jc w:val="center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b/>
          <w:sz w:val="36"/>
        </w:rPr>
        <w:t>ODLUKA</w:t>
      </w:r>
    </w:p>
    <w:p w14:paraId="16637B6F" w14:textId="663204AA" w:rsidR="00624B82" w:rsidRPr="00D45B3E" w:rsidRDefault="00100C9A">
      <w:pPr>
        <w:spacing w:after="280"/>
        <w:jc w:val="center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b/>
          <w:sz w:val="28"/>
        </w:rPr>
        <w:t xml:space="preserve">o </w:t>
      </w:r>
      <w:proofErr w:type="spellStart"/>
      <w:r w:rsidRPr="00D45B3E">
        <w:rPr>
          <w:rFonts w:ascii="Times New Roman" w:hAnsi="Times New Roman" w:cs="Times New Roman"/>
          <w:b/>
          <w:sz w:val="28"/>
        </w:rPr>
        <w:t>izm</w:t>
      </w:r>
      <w:r w:rsidR="00824554">
        <w:rPr>
          <w:rFonts w:ascii="Times New Roman" w:hAnsi="Times New Roman" w:cs="Times New Roman"/>
          <w:b/>
          <w:sz w:val="28"/>
        </w:rPr>
        <w:t>jenama</w:t>
      </w:r>
      <w:proofErr w:type="spellEnd"/>
      <w:r w:rsidRPr="00D45B3E">
        <w:rPr>
          <w:rFonts w:ascii="Times New Roman" w:hAnsi="Times New Roman" w:cs="Times New Roman"/>
          <w:b/>
          <w:sz w:val="28"/>
        </w:rPr>
        <w:t xml:space="preserve"> i </w:t>
      </w:r>
      <w:proofErr w:type="spellStart"/>
      <w:r w:rsidRPr="00D45B3E">
        <w:rPr>
          <w:rFonts w:ascii="Times New Roman" w:hAnsi="Times New Roman" w:cs="Times New Roman"/>
          <w:b/>
          <w:sz w:val="28"/>
        </w:rPr>
        <w:t>dopun</w:t>
      </w:r>
      <w:r w:rsidR="00824554">
        <w:rPr>
          <w:rFonts w:ascii="Times New Roman" w:hAnsi="Times New Roman" w:cs="Times New Roman"/>
          <w:b/>
          <w:sz w:val="28"/>
        </w:rPr>
        <w:t>ama</w:t>
      </w:r>
      <w:proofErr w:type="spellEnd"/>
      <w:r w:rsidRPr="00D45B3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45B3E">
        <w:rPr>
          <w:rFonts w:ascii="Times New Roman" w:hAnsi="Times New Roman" w:cs="Times New Roman"/>
          <w:b/>
          <w:sz w:val="28"/>
        </w:rPr>
        <w:t>Odluke</w:t>
      </w:r>
      <w:proofErr w:type="spellEnd"/>
      <w:r w:rsidRPr="00D45B3E">
        <w:rPr>
          <w:rFonts w:ascii="Times New Roman" w:hAnsi="Times New Roman" w:cs="Times New Roman"/>
          <w:b/>
          <w:sz w:val="28"/>
        </w:rPr>
        <w:t xml:space="preserve"> o komunalnom doprinosu</w:t>
      </w:r>
    </w:p>
    <w:p w14:paraId="018300E8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</w:rPr>
        <w:t>Na temelju članka 78. Zakona o komunalnom gospodarstvu ("Narodne novine", broj 68/18, 110/18, 32/20 i 145/24) i članka 32. Statuta Grada Trilja ("Službeni glasnik Grada Trilja", broj 03/09, 01/13, 02/18, 01/21, 05/23, 09/23 i 07/25), Gradsko vijeće Grada Trilja na __. sjednici održanoj __________ 2026. godine donijelo je</w:t>
      </w:r>
    </w:p>
    <w:p w14:paraId="19C684DF" w14:textId="100F0F7F" w:rsidR="00624B82" w:rsidRPr="00D45B3E" w:rsidRDefault="00824554">
      <w:pPr>
        <w:spacing w:after="1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br/>
      </w:r>
      <w:r w:rsidR="00100C9A" w:rsidRPr="00D45B3E">
        <w:rPr>
          <w:rFonts w:ascii="Times New Roman" w:hAnsi="Times New Roman" w:cs="Times New Roman"/>
          <w:b/>
          <w:sz w:val="28"/>
        </w:rPr>
        <w:t>ODLUKU</w:t>
      </w:r>
    </w:p>
    <w:p w14:paraId="6FE42884" w14:textId="24D4616C" w:rsidR="00624B82" w:rsidRPr="00D45B3E" w:rsidRDefault="00100C9A">
      <w:pPr>
        <w:spacing w:after="160"/>
        <w:jc w:val="center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b/>
          <w:sz w:val="24"/>
        </w:rPr>
        <w:t xml:space="preserve">o </w:t>
      </w:r>
      <w:proofErr w:type="spellStart"/>
      <w:r w:rsidRPr="00D45B3E">
        <w:rPr>
          <w:rFonts w:ascii="Times New Roman" w:hAnsi="Times New Roman" w:cs="Times New Roman"/>
          <w:b/>
          <w:sz w:val="24"/>
        </w:rPr>
        <w:t>izmjen</w:t>
      </w:r>
      <w:r w:rsidR="00D32FB6">
        <w:rPr>
          <w:rFonts w:ascii="Times New Roman" w:hAnsi="Times New Roman" w:cs="Times New Roman"/>
          <w:b/>
          <w:sz w:val="24"/>
        </w:rPr>
        <w:t>ama</w:t>
      </w:r>
      <w:proofErr w:type="spellEnd"/>
      <w:r w:rsidRPr="00D45B3E">
        <w:rPr>
          <w:rFonts w:ascii="Times New Roman" w:hAnsi="Times New Roman" w:cs="Times New Roman"/>
          <w:b/>
          <w:sz w:val="24"/>
        </w:rPr>
        <w:t xml:space="preserve"> i dopun</w:t>
      </w:r>
      <w:r w:rsidR="00D32FB6">
        <w:rPr>
          <w:rFonts w:ascii="Times New Roman" w:hAnsi="Times New Roman" w:cs="Times New Roman"/>
          <w:b/>
          <w:sz w:val="24"/>
        </w:rPr>
        <w:t>ama</w:t>
      </w:r>
      <w:r w:rsidRPr="00D45B3E">
        <w:rPr>
          <w:rFonts w:ascii="Times New Roman" w:hAnsi="Times New Roman" w:cs="Times New Roman"/>
          <w:b/>
          <w:sz w:val="24"/>
        </w:rPr>
        <w:t xml:space="preserve"> Odluke o komunalnom doprinosu</w:t>
      </w:r>
    </w:p>
    <w:p w14:paraId="1EF33C90" w14:textId="77777777" w:rsidR="00624B82" w:rsidRPr="00D45B3E" w:rsidRDefault="00100C9A">
      <w:pPr>
        <w:keepNext/>
        <w:spacing w:before="200" w:after="100"/>
        <w:jc w:val="center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b/>
        </w:rPr>
        <w:t>Članak 1.</w:t>
      </w:r>
    </w:p>
    <w:p w14:paraId="7467320E" w14:textId="4FF63349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</w:rPr>
        <w:t xml:space="preserve">U Odluci o komunalnom doprinosu ("Službeni glasnik Grada Trilja", broj 02/19 i 01/26), u članku 4., u </w:t>
      </w:r>
      <w:proofErr w:type="spellStart"/>
      <w:r w:rsidRPr="00D45B3E">
        <w:rPr>
          <w:rFonts w:ascii="Times New Roman" w:hAnsi="Times New Roman" w:cs="Times New Roman"/>
        </w:rPr>
        <w:t>dijelu</w:t>
      </w:r>
      <w:proofErr w:type="spellEnd"/>
      <w:r w:rsidRPr="00D45B3E">
        <w:rPr>
          <w:rFonts w:ascii="Times New Roman" w:hAnsi="Times New Roman" w:cs="Times New Roman"/>
        </w:rPr>
        <w:t xml:space="preserve"> pod </w:t>
      </w:r>
      <w:proofErr w:type="spellStart"/>
      <w:r w:rsidRPr="00D45B3E">
        <w:rPr>
          <w:rFonts w:ascii="Times New Roman" w:hAnsi="Times New Roman" w:cs="Times New Roman"/>
        </w:rPr>
        <w:t>naslovom</w:t>
      </w:r>
      <w:proofErr w:type="spellEnd"/>
      <w:r w:rsidRPr="00D45B3E">
        <w:rPr>
          <w:rFonts w:ascii="Times New Roman" w:hAnsi="Times New Roman" w:cs="Times New Roman"/>
        </w:rPr>
        <w:t xml:space="preserve"> „</w:t>
      </w:r>
      <w:proofErr w:type="spellStart"/>
      <w:r w:rsidRPr="00D45B3E">
        <w:rPr>
          <w:rFonts w:ascii="Times New Roman" w:hAnsi="Times New Roman" w:cs="Times New Roman"/>
        </w:rPr>
        <w:t>Komunalni</w:t>
      </w:r>
      <w:proofErr w:type="spellEnd"/>
      <w:r w:rsidRPr="00D45B3E">
        <w:rPr>
          <w:rFonts w:ascii="Times New Roman" w:hAnsi="Times New Roman" w:cs="Times New Roman"/>
        </w:rPr>
        <w:t xml:space="preserve"> </w:t>
      </w:r>
      <w:proofErr w:type="spellStart"/>
      <w:r w:rsidRPr="00D45B3E">
        <w:rPr>
          <w:rFonts w:ascii="Times New Roman" w:hAnsi="Times New Roman" w:cs="Times New Roman"/>
        </w:rPr>
        <w:t>doprinos</w:t>
      </w:r>
      <w:proofErr w:type="spellEnd"/>
      <w:r w:rsidRPr="00D45B3E">
        <w:rPr>
          <w:rFonts w:ascii="Times New Roman" w:hAnsi="Times New Roman" w:cs="Times New Roman"/>
        </w:rPr>
        <w:t xml:space="preserve"> za </w:t>
      </w:r>
      <w:proofErr w:type="spellStart"/>
      <w:r w:rsidRPr="00D45B3E">
        <w:rPr>
          <w:rFonts w:ascii="Times New Roman" w:hAnsi="Times New Roman" w:cs="Times New Roman"/>
        </w:rPr>
        <w:t>izgradnju</w:t>
      </w:r>
      <w:proofErr w:type="spellEnd"/>
      <w:r w:rsidRPr="00D45B3E">
        <w:rPr>
          <w:rFonts w:ascii="Times New Roman" w:hAnsi="Times New Roman" w:cs="Times New Roman"/>
        </w:rPr>
        <w:t xml:space="preserve"> </w:t>
      </w:r>
      <w:proofErr w:type="spellStart"/>
      <w:r w:rsidRPr="00D45B3E">
        <w:rPr>
          <w:rFonts w:ascii="Times New Roman" w:hAnsi="Times New Roman" w:cs="Times New Roman"/>
        </w:rPr>
        <w:t>objekata</w:t>
      </w:r>
      <w:proofErr w:type="spellEnd"/>
      <w:r w:rsidRPr="00D45B3E">
        <w:rPr>
          <w:rFonts w:ascii="Times New Roman" w:hAnsi="Times New Roman" w:cs="Times New Roman"/>
        </w:rPr>
        <w:t xml:space="preserve"> </w:t>
      </w:r>
      <w:proofErr w:type="spellStart"/>
      <w:r w:rsidRPr="00D45B3E">
        <w:rPr>
          <w:rFonts w:ascii="Times New Roman" w:hAnsi="Times New Roman" w:cs="Times New Roman"/>
        </w:rPr>
        <w:t>unutar</w:t>
      </w:r>
      <w:proofErr w:type="spellEnd"/>
      <w:r w:rsidRPr="00D45B3E">
        <w:rPr>
          <w:rFonts w:ascii="Times New Roman" w:hAnsi="Times New Roman" w:cs="Times New Roman"/>
        </w:rPr>
        <w:t xml:space="preserve"> </w:t>
      </w:r>
      <w:proofErr w:type="spellStart"/>
      <w:r w:rsidRPr="00D45B3E">
        <w:rPr>
          <w:rFonts w:ascii="Times New Roman" w:hAnsi="Times New Roman" w:cs="Times New Roman"/>
        </w:rPr>
        <w:t>izdvojenog</w:t>
      </w:r>
      <w:proofErr w:type="spellEnd"/>
      <w:r w:rsidRPr="00D45B3E">
        <w:rPr>
          <w:rFonts w:ascii="Times New Roman" w:hAnsi="Times New Roman" w:cs="Times New Roman"/>
        </w:rPr>
        <w:t xml:space="preserve"> </w:t>
      </w:r>
      <w:proofErr w:type="spellStart"/>
      <w:r w:rsidRPr="00D45B3E">
        <w:rPr>
          <w:rFonts w:ascii="Times New Roman" w:hAnsi="Times New Roman" w:cs="Times New Roman"/>
        </w:rPr>
        <w:t>građevinskog</w:t>
      </w:r>
      <w:proofErr w:type="spellEnd"/>
      <w:r w:rsidRPr="00D45B3E">
        <w:rPr>
          <w:rFonts w:ascii="Times New Roman" w:hAnsi="Times New Roman" w:cs="Times New Roman"/>
        </w:rPr>
        <w:t xml:space="preserve"> </w:t>
      </w:r>
      <w:proofErr w:type="spellStart"/>
      <w:r w:rsidRPr="00D45B3E">
        <w:rPr>
          <w:rFonts w:ascii="Times New Roman" w:hAnsi="Times New Roman" w:cs="Times New Roman"/>
        </w:rPr>
        <w:t>područja</w:t>
      </w:r>
      <w:proofErr w:type="spellEnd"/>
      <w:r w:rsidRPr="00D45B3E">
        <w:rPr>
          <w:rFonts w:ascii="Times New Roman" w:hAnsi="Times New Roman" w:cs="Times New Roman"/>
        </w:rPr>
        <w:t xml:space="preserve"> </w:t>
      </w:r>
      <w:proofErr w:type="spellStart"/>
      <w:r w:rsidRPr="00D45B3E">
        <w:rPr>
          <w:rFonts w:ascii="Times New Roman" w:hAnsi="Times New Roman" w:cs="Times New Roman"/>
        </w:rPr>
        <w:t>izvan</w:t>
      </w:r>
      <w:proofErr w:type="spellEnd"/>
      <w:r w:rsidRPr="00D45B3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45B3E">
        <w:rPr>
          <w:rFonts w:ascii="Times New Roman" w:hAnsi="Times New Roman" w:cs="Times New Roman"/>
        </w:rPr>
        <w:t>naselja</w:t>
      </w:r>
      <w:proofErr w:type="spellEnd"/>
      <w:r w:rsidRPr="00D45B3E">
        <w:rPr>
          <w:rFonts w:ascii="Times New Roman" w:hAnsi="Times New Roman" w:cs="Times New Roman"/>
        </w:rPr>
        <w:t>“</w:t>
      </w:r>
      <w:proofErr w:type="gramEnd"/>
      <w:r w:rsidRPr="00D45B3E">
        <w:rPr>
          <w:rFonts w:ascii="Times New Roman" w:hAnsi="Times New Roman" w:cs="Times New Roman"/>
        </w:rPr>
        <w:t xml:space="preserve">, </w:t>
      </w:r>
      <w:proofErr w:type="spellStart"/>
      <w:r w:rsidRPr="00D45B3E">
        <w:rPr>
          <w:rFonts w:ascii="Times New Roman" w:hAnsi="Times New Roman" w:cs="Times New Roman"/>
        </w:rPr>
        <w:t>iza</w:t>
      </w:r>
      <w:proofErr w:type="spellEnd"/>
      <w:r w:rsidRPr="00D45B3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24554">
        <w:rPr>
          <w:rFonts w:ascii="Times New Roman" w:hAnsi="Times New Roman" w:cs="Times New Roman"/>
        </w:rPr>
        <w:t>alineje</w:t>
      </w:r>
      <w:proofErr w:type="spellEnd"/>
      <w:r w:rsidR="00824554">
        <w:rPr>
          <w:rFonts w:ascii="Times New Roman" w:hAnsi="Times New Roman" w:cs="Times New Roman"/>
        </w:rPr>
        <w:t xml:space="preserve">  “</w:t>
      </w:r>
      <w:proofErr w:type="gramEnd"/>
      <w:r w:rsidR="00824554" w:rsidRPr="00824554">
        <w:rPr>
          <w:rFonts w:ascii="Times New Roman" w:hAnsi="Times New Roman" w:cs="Times New Roman"/>
          <w:i/>
          <w:iCs/>
          <w:lang w:val="hr-HR"/>
        </w:rPr>
        <w:t xml:space="preserve">–Za objekte proizvodno –poslovne namjene (kamenolome, </w:t>
      </w:r>
      <w:proofErr w:type="spellStart"/>
      <w:r w:rsidR="00824554" w:rsidRPr="00824554">
        <w:rPr>
          <w:rFonts w:ascii="Times New Roman" w:hAnsi="Times New Roman" w:cs="Times New Roman"/>
          <w:i/>
          <w:iCs/>
          <w:lang w:val="hr-HR"/>
        </w:rPr>
        <w:t>vjetroparkove</w:t>
      </w:r>
      <w:proofErr w:type="spellEnd"/>
      <w:r w:rsidR="00824554" w:rsidRPr="00824554">
        <w:rPr>
          <w:rFonts w:ascii="Times New Roman" w:hAnsi="Times New Roman" w:cs="Times New Roman"/>
          <w:i/>
          <w:iCs/>
          <w:lang w:val="hr-HR"/>
        </w:rPr>
        <w:t xml:space="preserve"> i druge energetske objekte) jedinična cijena iznosi </w:t>
      </w:r>
      <w:r w:rsidR="00824554" w:rsidRPr="00824554">
        <w:rPr>
          <w:rFonts w:ascii="Times New Roman" w:hAnsi="Times New Roman" w:cs="Times New Roman"/>
          <w:b/>
          <w:bCs/>
          <w:i/>
          <w:iCs/>
          <w:lang w:val="hr-HR"/>
        </w:rPr>
        <w:t>20 eura po m</w:t>
      </w:r>
      <w:proofErr w:type="gramStart"/>
      <w:r w:rsidR="00824554" w:rsidRPr="00D0436C">
        <w:rPr>
          <w:rFonts w:ascii="Times New Roman" w:hAnsi="Times New Roman" w:cs="Times New Roman"/>
          <w:b/>
          <w:bCs/>
          <w:i/>
          <w:iCs/>
          <w:lang w:val="hr-HR"/>
        </w:rPr>
        <w:t>³</w:t>
      </w:r>
      <w:r w:rsidR="00824554" w:rsidRPr="00D0436C">
        <w:rPr>
          <w:rFonts w:ascii="Times New Roman" w:hAnsi="Times New Roman" w:cs="Times New Roman"/>
          <w:i/>
          <w:iCs/>
          <w:lang w:val="hr-HR"/>
        </w:rPr>
        <w:t>.“</w:t>
      </w:r>
      <w:proofErr w:type="gramEnd"/>
      <w:r w:rsidRPr="00D0436C">
        <w:rPr>
          <w:rFonts w:ascii="Times New Roman" w:hAnsi="Times New Roman" w:cs="Times New Roman"/>
        </w:rPr>
        <w:t>,</w:t>
      </w:r>
      <w:r w:rsidRPr="00D45B3E">
        <w:rPr>
          <w:rFonts w:ascii="Times New Roman" w:hAnsi="Times New Roman" w:cs="Times New Roman"/>
        </w:rPr>
        <w:t xml:space="preserve"> </w:t>
      </w:r>
      <w:proofErr w:type="spellStart"/>
      <w:r w:rsidRPr="00D45B3E">
        <w:rPr>
          <w:rFonts w:ascii="Times New Roman" w:hAnsi="Times New Roman" w:cs="Times New Roman"/>
        </w:rPr>
        <w:t>dodaj</w:t>
      </w:r>
      <w:r w:rsidR="00824554">
        <w:rPr>
          <w:rFonts w:ascii="Times New Roman" w:hAnsi="Times New Roman" w:cs="Times New Roman"/>
        </w:rPr>
        <w:t>e</w:t>
      </w:r>
      <w:proofErr w:type="spellEnd"/>
      <w:r w:rsidR="00824554">
        <w:rPr>
          <w:rFonts w:ascii="Times New Roman" w:hAnsi="Times New Roman" w:cs="Times New Roman"/>
        </w:rPr>
        <w:t xml:space="preserve"> se </w:t>
      </w:r>
      <w:proofErr w:type="spellStart"/>
      <w:r w:rsidR="00824554">
        <w:rPr>
          <w:rFonts w:ascii="Times New Roman" w:hAnsi="Times New Roman" w:cs="Times New Roman"/>
        </w:rPr>
        <w:t>sljedeći</w:t>
      </w:r>
      <w:proofErr w:type="spellEnd"/>
      <w:r w:rsidR="00824554">
        <w:rPr>
          <w:rFonts w:ascii="Times New Roman" w:hAnsi="Times New Roman" w:cs="Times New Roman"/>
        </w:rPr>
        <w:t xml:space="preserve"> </w:t>
      </w:r>
      <w:proofErr w:type="spellStart"/>
      <w:r w:rsidR="00824554">
        <w:rPr>
          <w:rFonts w:ascii="Times New Roman" w:hAnsi="Times New Roman" w:cs="Times New Roman"/>
        </w:rPr>
        <w:t>tekst</w:t>
      </w:r>
      <w:proofErr w:type="spellEnd"/>
      <w:r w:rsidR="00824554">
        <w:rPr>
          <w:rFonts w:ascii="Times New Roman" w:hAnsi="Times New Roman" w:cs="Times New Roman"/>
        </w:rPr>
        <w:t xml:space="preserve"> koji </w:t>
      </w:r>
      <w:proofErr w:type="spellStart"/>
      <w:r w:rsidR="00824554">
        <w:rPr>
          <w:rFonts w:ascii="Times New Roman" w:hAnsi="Times New Roman" w:cs="Times New Roman"/>
        </w:rPr>
        <w:t>glasi</w:t>
      </w:r>
      <w:proofErr w:type="spellEnd"/>
      <w:r w:rsidRPr="00D45B3E">
        <w:rPr>
          <w:rFonts w:ascii="Times New Roman" w:hAnsi="Times New Roman" w:cs="Times New Roman"/>
        </w:rPr>
        <w:t>:</w:t>
      </w:r>
    </w:p>
    <w:p w14:paraId="35F849CF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i/>
        </w:rPr>
        <w:t>„Izraz građevine i postrojenja za proizvodnju energije iz obnovljivih izvora obuhvaća osobito sunčane odnosno solarne elektrane, vjetroelektrane, hidroelektrane, geotermalne elektrane, elektrane na biomasu, elektrane na bioplin te druge građevine i postrojenja koja koriste obnovljive izvore energije.</w:t>
      </w:r>
    </w:p>
    <w:p w14:paraId="11345475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i/>
        </w:rPr>
        <w:t>Za zgrade koje su dio građevina i postrojenja iz prethodnog stavka komunalni doprinos obračunava se prema njihovu obujmu, uz primjenu jedinične vrijednosti od 20,00 eura po m³.</w:t>
      </w:r>
    </w:p>
    <w:p w14:paraId="1F98C035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i/>
        </w:rPr>
        <w:t>Za otvorene građevine koje su dio građevina i postrojenja iz stavka 1. ovoga članka komunalni doprinos obračunava se prema njihovoj tlocrtnoj površini, uz primjenu jedinične vrijednosti od 20,00 eura po m².</w:t>
      </w:r>
    </w:p>
    <w:p w14:paraId="42127178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i/>
        </w:rPr>
        <w:t>Tlocrtna površina otvorene građevine utvrđuje se kao vertikalna projekcija svih dijelova konstrukcije građevine na tlo, u skladu s pravilnikom kojim se propisuje način utvrđivanja obujma i površine građevina u svrhu obračuna komunalnog doprinosa.</w:t>
      </w:r>
    </w:p>
    <w:p w14:paraId="5897D59E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i/>
        </w:rPr>
        <w:t>Ako građevinu ili postrojenje za proizvodnju energije iz obnovljivih izvora čini više zgrada, otvorenih građevina ili njihovih dijelova, komunalni doprinos obračunava se zasebno za svaku zgradu prema obujmu i za svaku otvorenu građevinu prema tlocrtnoj površini, a ukupni iznos predstavlja zbroj tako utvrđenih iznosa.</w:t>
      </w:r>
    </w:p>
    <w:p w14:paraId="53EB041C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i/>
        </w:rPr>
        <w:t>Obujam i tlocrtna površina utvrđuju se prema podacima iz glavnog projekta koji je sastavni dio građevinske dozvole, odnosno prema drugoj odgovarajućoj dokumentaciji propisanoj zakonom i posebnim propisima.</w:t>
      </w:r>
    </w:p>
    <w:p w14:paraId="7A098DB8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i/>
        </w:rPr>
        <w:t>Površina zemljišta između pojedinih dijelova postrojenja, interni razmaci, zaštitni pojasevi i ostalo zemljište unutar obuhvata zahvata ne uračunavaju se u obračunsku površinu komunalnog doprinosa, osim ako prema glavnom projektu predstavljaju zasebnu otvorenu građevinu.“</w:t>
      </w:r>
    </w:p>
    <w:p w14:paraId="5B8ECD18" w14:textId="77777777" w:rsidR="00624B82" w:rsidRPr="00D45B3E" w:rsidRDefault="00100C9A">
      <w:pPr>
        <w:keepNext/>
        <w:spacing w:before="200" w:after="100"/>
        <w:jc w:val="center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b/>
        </w:rPr>
        <w:t>Članak 2.</w:t>
      </w:r>
    </w:p>
    <w:p w14:paraId="105EF84C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</w:rPr>
        <w:t>Postupci donošenja rješenja o komunalnom doprinosu započeti prije stupanja na snagu ove Odluke dovršit će se prema odredbama propisa koji su bili na snazi u vrijeme nastanka obveze donošenja rješenja o komunalnom doprinosu.</w:t>
      </w:r>
    </w:p>
    <w:p w14:paraId="266848A3" w14:textId="77777777" w:rsidR="00624B82" w:rsidRPr="00D45B3E" w:rsidRDefault="00100C9A">
      <w:pPr>
        <w:keepNext/>
        <w:spacing w:before="200" w:after="100"/>
        <w:jc w:val="center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b/>
        </w:rPr>
        <w:t>Članak 3.</w:t>
      </w:r>
    </w:p>
    <w:p w14:paraId="09B76491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</w:rPr>
        <w:t>Ova Odluka stupa na snagu osmoga dana od dana objave u "Službenom glasniku Grada Trilja".</w:t>
      </w:r>
    </w:p>
    <w:p w14:paraId="5B99CFDD" w14:textId="77777777" w:rsidR="00624B82" w:rsidRDefault="00624B82">
      <w:pPr>
        <w:rPr>
          <w:rFonts w:ascii="Times New Roman" w:hAnsi="Times New Roman" w:cs="Times New Roman"/>
        </w:rPr>
      </w:pPr>
    </w:p>
    <w:p w14:paraId="114FC272" w14:textId="77777777" w:rsidR="00762CBC" w:rsidRDefault="00762CBC">
      <w:pPr>
        <w:rPr>
          <w:rFonts w:ascii="Times New Roman" w:hAnsi="Times New Roman" w:cs="Times New Roman"/>
        </w:rPr>
      </w:pPr>
    </w:p>
    <w:p w14:paraId="1B921396" w14:textId="77777777" w:rsidR="00762CBC" w:rsidRPr="00D45B3E" w:rsidRDefault="00762CBC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6"/>
        <w:gridCol w:w="4816"/>
      </w:tblGrid>
      <w:tr w:rsidR="00624B82" w:rsidRPr="00D45B3E" w14:paraId="758ED377" w14:textId="77777777">
        <w:trPr>
          <w:jc w:val="center"/>
        </w:trPr>
        <w:tc>
          <w:tcPr>
            <w:tcW w:w="48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C82C2D" w14:textId="77777777" w:rsidR="00624B82" w:rsidRPr="00D45B3E" w:rsidRDefault="00100C9A">
            <w:pPr>
              <w:rPr>
                <w:rFonts w:ascii="Times New Roman" w:hAnsi="Times New Roman" w:cs="Times New Roman"/>
              </w:rPr>
            </w:pPr>
            <w:r w:rsidRPr="00D45B3E">
              <w:rPr>
                <w:rFonts w:ascii="Times New Roman" w:hAnsi="Times New Roman" w:cs="Times New Roman"/>
              </w:rPr>
              <w:lastRenderedPageBreak/>
              <w:t>KLASA:</w:t>
            </w:r>
          </w:p>
        </w:tc>
        <w:tc>
          <w:tcPr>
            <w:tcW w:w="48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537A7D" w14:textId="77777777" w:rsidR="00624B82" w:rsidRPr="00D45B3E" w:rsidRDefault="00100C9A">
            <w:pPr>
              <w:jc w:val="center"/>
              <w:rPr>
                <w:rFonts w:ascii="Times New Roman" w:hAnsi="Times New Roman" w:cs="Times New Roman"/>
              </w:rPr>
            </w:pPr>
            <w:r w:rsidRPr="00D45B3E">
              <w:rPr>
                <w:rFonts w:ascii="Times New Roman" w:hAnsi="Times New Roman" w:cs="Times New Roman"/>
              </w:rPr>
              <w:t>PREDSJEDNIK GRADSKOG VIJEĆA</w:t>
            </w:r>
          </w:p>
        </w:tc>
      </w:tr>
      <w:tr w:rsidR="00624B82" w:rsidRPr="00D32FB6" w14:paraId="79B4CA0F" w14:textId="77777777">
        <w:trPr>
          <w:jc w:val="center"/>
        </w:trPr>
        <w:tc>
          <w:tcPr>
            <w:tcW w:w="48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537611" w14:textId="77777777" w:rsidR="00624B82" w:rsidRPr="00D45B3E" w:rsidRDefault="00100C9A">
            <w:pPr>
              <w:rPr>
                <w:rFonts w:ascii="Times New Roman" w:hAnsi="Times New Roman" w:cs="Times New Roman"/>
              </w:rPr>
            </w:pPr>
            <w:r w:rsidRPr="00D45B3E">
              <w:rPr>
                <w:rFonts w:ascii="Times New Roman" w:hAnsi="Times New Roman" w:cs="Times New Roman"/>
              </w:rPr>
              <w:t>URBROJ:</w:t>
            </w:r>
          </w:p>
        </w:tc>
        <w:tc>
          <w:tcPr>
            <w:tcW w:w="48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E52B24" w14:textId="77777777" w:rsidR="00624B82" w:rsidRPr="00824554" w:rsidRDefault="00100C9A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824554">
              <w:rPr>
                <w:rFonts w:ascii="Times New Roman" w:hAnsi="Times New Roman" w:cs="Times New Roman"/>
                <w:lang w:val="de-DE"/>
              </w:rPr>
              <w:t xml:space="preserve">Mirko Odrljin, mag. ing. </w:t>
            </w:r>
            <w:proofErr w:type="spellStart"/>
            <w:r w:rsidRPr="00824554">
              <w:rPr>
                <w:rFonts w:ascii="Times New Roman" w:hAnsi="Times New Roman" w:cs="Times New Roman"/>
                <w:lang w:val="de-DE"/>
              </w:rPr>
              <w:t>el</w:t>
            </w:r>
            <w:proofErr w:type="spellEnd"/>
            <w:r w:rsidRPr="00824554">
              <w:rPr>
                <w:rFonts w:ascii="Times New Roman" w:hAnsi="Times New Roman" w:cs="Times New Roman"/>
                <w:lang w:val="de-DE"/>
              </w:rPr>
              <w:t>.</w:t>
            </w:r>
          </w:p>
        </w:tc>
      </w:tr>
      <w:tr w:rsidR="00624B82" w:rsidRPr="00D45B3E" w14:paraId="45381FE4" w14:textId="77777777">
        <w:trPr>
          <w:jc w:val="center"/>
        </w:trPr>
        <w:tc>
          <w:tcPr>
            <w:tcW w:w="48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B8AB52" w14:textId="77777777" w:rsidR="00624B82" w:rsidRPr="00D45B3E" w:rsidRDefault="00100C9A">
            <w:pPr>
              <w:rPr>
                <w:rFonts w:ascii="Times New Roman" w:hAnsi="Times New Roman" w:cs="Times New Roman"/>
              </w:rPr>
            </w:pPr>
            <w:proofErr w:type="gramStart"/>
            <w:r w:rsidRPr="00D45B3E">
              <w:rPr>
                <w:rFonts w:ascii="Times New Roman" w:hAnsi="Times New Roman" w:cs="Times New Roman"/>
              </w:rPr>
              <w:t>Trilj, __</w:t>
            </w:r>
            <w:proofErr w:type="gramEnd"/>
            <w:r w:rsidRPr="00D45B3E">
              <w:rPr>
                <w:rFonts w:ascii="Times New Roman" w:hAnsi="Times New Roman" w:cs="Times New Roman"/>
              </w:rPr>
              <w:t>________ 2026.</w:t>
            </w:r>
          </w:p>
        </w:tc>
        <w:tc>
          <w:tcPr>
            <w:tcW w:w="48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9124A7" w14:textId="77777777" w:rsidR="00624B82" w:rsidRPr="00D45B3E" w:rsidRDefault="00624B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2C462C" w14:textId="77777777" w:rsidR="00624B82" w:rsidRPr="00D45B3E" w:rsidRDefault="00100C9A">
      <w:pPr>
        <w:rPr>
          <w:rFonts w:ascii="Times New Roman" w:hAnsi="Times New Roman" w:cs="Times New Roman"/>
        </w:rPr>
      </w:pPr>
      <w:r w:rsidRPr="00824554">
        <w:rPr>
          <w:rFonts w:ascii="Times New Roman" w:hAnsi="Times New Roman" w:cs="Times New Roman"/>
          <w:lang w:val="de-DE"/>
        </w:rPr>
        <w:br w:type="page"/>
      </w:r>
    </w:p>
    <w:p w14:paraId="5E8CBF61" w14:textId="77777777" w:rsidR="00624B82" w:rsidRPr="00D45B3E" w:rsidRDefault="00100C9A">
      <w:pPr>
        <w:spacing w:after="240"/>
        <w:jc w:val="center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  <w:b/>
          <w:sz w:val="34"/>
        </w:rPr>
        <w:lastRenderedPageBreak/>
        <w:t>OBRAZLOŽENJE</w:t>
      </w:r>
    </w:p>
    <w:p w14:paraId="5896CB52" w14:textId="77777777" w:rsidR="00624B82" w:rsidRPr="00D45B3E" w:rsidRDefault="00100C9A">
      <w:pPr>
        <w:pStyle w:val="Naslov1"/>
        <w:rPr>
          <w:rFonts w:ascii="Times New Roman" w:hAnsi="Times New Roman" w:cs="Times New Roman"/>
          <w:color w:val="auto"/>
        </w:rPr>
      </w:pPr>
      <w:r w:rsidRPr="00D45B3E">
        <w:rPr>
          <w:rFonts w:ascii="Times New Roman" w:hAnsi="Times New Roman" w:cs="Times New Roman"/>
          <w:color w:val="auto"/>
        </w:rPr>
        <w:t>1. Postojeće pravno stanje</w:t>
      </w:r>
    </w:p>
    <w:p w14:paraId="2C02F5E3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</w:rPr>
        <w:t>Odluka o komunalnom doprinosu iz 2019. godine izmijenjena je službeno objavljenim Izmjenama i dopunama iz 2026. godine. Tim je izmjenama već uređena IV. zona odnosno izgradnja unutar izdvojenog građevinskog područja izvan naselja te je za objekte proizvodno-poslovne namjene, uključujući kamenolome, vjetroparkove i druge energetske objekte, propisana jedinična vrijednost komunalnog doprinosa od 20,00 eura po m³. Ovim se prijedlogom ta službena odredba ne donosi ponovno i ne mijenja njezina vrijednost, nego se samo dopunjuje način obračuna za obnovljive izvore energije.</w:t>
      </w:r>
    </w:p>
    <w:p w14:paraId="089FCAED" w14:textId="77777777" w:rsidR="00624B82" w:rsidRPr="00D45B3E" w:rsidRDefault="00100C9A">
      <w:pPr>
        <w:pStyle w:val="Naslov1"/>
        <w:rPr>
          <w:rFonts w:ascii="Times New Roman" w:hAnsi="Times New Roman" w:cs="Times New Roman"/>
          <w:color w:val="auto"/>
        </w:rPr>
      </w:pPr>
      <w:r w:rsidRPr="00D45B3E">
        <w:rPr>
          <w:rFonts w:ascii="Times New Roman" w:hAnsi="Times New Roman" w:cs="Times New Roman"/>
          <w:color w:val="auto"/>
        </w:rPr>
        <w:t>2. Razlozi za novu izmjenu</w:t>
      </w:r>
    </w:p>
    <w:p w14:paraId="7538A82E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</w:rPr>
        <w:t>Postojeća formulacija izrijekom navodi vjetroparkove i druge energetske objekte, ali ne razrađuje obuhvat drugih obnovljivih izvora energije niti način obračuna otvorenih građevina. Zbog pravne sigurnosti i ujednačenog postupanja potrebno je obuhvatiti solarne elektrane, hidroelektrane i ostale obnovljive izvore te jasno razlikovati obračun zgrada prema obujmu od obračuna otvorenih građevina prema tlocrtnoj površini.</w:t>
      </w:r>
    </w:p>
    <w:p w14:paraId="1998F4DC" w14:textId="77777777" w:rsidR="00624B82" w:rsidRPr="00D45B3E" w:rsidRDefault="00100C9A">
      <w:pPr>
        <w:pStyle w:val="Naslov1"/>
        <w:rPr>
          <w:rFonts w:ascii="Times New Roman" w:hAnsi="Times New Roman" w:cs="Times New Roman"/>
          <w:color w:val="auto"/>
        </w:rPr>
      </w:pPr>
      <w:r w:rsidRPr="00D45B3E">
        <w:rPr>
          <w:rFonts w:ascii="Times New Roman" w:hAnsi="Times New Roman" w:cs="Times New Roman"/>
          <w:color w:val="auto"/>
        </w:rPr>
        <w:t>3. Obuhvat obnovljivih izvora energije</w:t>
      </w:r>
    </w:p>
    <w:p w14:paraId="1BF6510C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</w:rPr>
        <w:t>Predloženi tekst primjerično navodi sunčane odnosno solarne elektrane, vjetroelektrane, hidroelektrane, geotermalne elektrane, elektrane na biomasu i bioplin. Završna formulacija obuhvaća i druge građevine i postrojenja koja koriste obnovljive izvore energije, čime se izbjegava zatvoreni popis tehnologija.</w:t>
      </w:r>
    </w:p>
    <w:p w14:paraId="53900AE1" w14:textId="77777777" w:rsidR="00624B82" w:rsidRPr="00D45B3E" w:rsidRDefault="00100C9A">
      <w:pPr>
        <w:pStyle w:val="Naslov1"/>
        <w:rPr>
          <w:rFonts w:ascii="Times New Roman" w:hAnsi="Times New Roman" w:cs="Times New Roman"/>
          <w:color w:val="auto"/>
        </w:rPr>
      </w:pPr>
      <w:r w:rsidRPr="00D45B3E">
        <w:rPr>
          <w:rFonts w:ascii="Times New Roman" w:hAnsi="Times New Roman" w:cs="Times New Roman"/>
          <w:color w:val="auto"/>
        </w:rPr>
        <w:t>4. Način obračuna</w:t>
      </w:r>
    </w:p>
    <w:p w14:paraId="57FE4B8E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</w:rPr>
        <w:t>Za zgrade ostaje obračun prema obujmu uz službeno utvrđenu vrijednost od 20,00 eura po m³. Za otvorene građevine propisuje se obračun prema tlocrtnoj površini uz jediničnu vrijednost od 20,00 eura po m². Kod složenog postrojenja svaka zgrada i svaka otvorena građevina obračunavaju se zasebno, a ukupni doprinos predstavlja njihov zbroj.</w:t>
      </w:r>
    </w:p>
    <w:p w14:paraId="51A55D0D" w14:textId="77777777" w:rsidR="00624B82" w:rsidRPr="00D45B3E" w:rsidRDefault="00100C9A">
      <w:pPr>
        <w:pStyle w:val="Naslov1"/>
        <w:rPr>
          <w:rFonts w:ascii="Times New Roman" w:hAnsi="Times New Roman" w:cs="Times New Roman"/>
          <w:color w:val="auto"/>
        </w:rPr>
      </w:pPr>
      <w:r w:rsidRPr="00D45B3E">
        <w:rPr>
          <w:rFonts w:ascii="Times New Roman" w:hAnsi="Times New Roman" w:cs="Times New Roman"/>
          <w:color w:val="auto"/>
        </w:rPr>
        <w:t>5. Financijski učinak</w:t>
      </w:r>
    </w:p>
    <w:p w14:paraId="4FEFAD17" w14:textId="77777777" w:rsidR="00624B82" w:rsidRPr="00D45B3E" w:rsidRDefault="00100C9A">
      <w:pPr>
        <w:jc w:val="both"/>
        <w:rPr>
          <w:rFonts w:ascii="Times New Roman" w:hAnsi="Times New Roman" w:cs="Times New Roman"/>
        </w:rPr>
      </w:pPr>
      <w:r w:rsidRPr="00D45B3E">
        <w:rPr>
          <w:rFonts w:ascii="Times New Roman" w:hAnsi="Times New Roman" w:cs="Times New Roman"/>
        </w:rPr>
        <w:t>Za provedbu ove Odluke nisu potrebna dodatna sredstva u Proračunu Grada Trilja. Očekuje se jasniji i potpuniji obračun komunalnog doprinosa kod budućih projekata obnovljivih izvora energije.</w:t>
      </w:r>
    </w:p>
    <w:sectPr w:rsidR="00624B82" w:rsidRPr="00D45B3E" w:rsidSect="00034616">
      <w:footerReference w:type="default" r:id="rId8"/>
      <w:pgSz w:w="12240" w:h="15840"/>
      <w:pgMar w:top="1191" w:right="1247" w:bottom="1077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25610" w14:textId="77777777" w:rsidR="002C1CD4" w:rsidRDefault="002C1CD4">
      <w:pPr>
        <w:spacing w:after="0" w:line="240" w:lineRule="auto"/>
      </w:pPr>
      <w:r>
        <w:separator/>
      </w:r>
    </w:p>
  </w:endnote>
  <w:endnote w:type="continuationSeparator" w:id="0">
    <w:p w14:paraId="19194DC2" w14:textId="77777777" w:rsidR="002C1CD4" w:rsidRDefault="002C1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A7ED3" w14:textId="0ACBB1B1" w:rsidR="00624B82" w:rsidRDefault="00624B82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7E96B" w14:textId="77777777" w:rsidR="002C1CD4" w:rsidRDefault="002C1CD4">
      <w:pPr>
        <w:spacing w:after="0" w:line="240" w:lineRule="auto"/>
      </w:pPr>
      <w:r>
        <w:separator/>
      </w:r>
    </w:p>
  </w:footnote>
  <w:footnote w:type="continuationSeparator" w:id="0">
    <w:p w14:paraId="2BBDF1F0" w14:textId="77777777" w:rsidR="002C1CD4" w:rsidRDefault="002C1C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6000507">
    <w:abstractNumId w:val="8"/>
  </w:num>
  <w:num w:numId="2" w16cid:durableId="952790505">
    <w:abstractNumId w:val="6"/>
  </w:num>
  <w:num w:numId="3" w16cid:durableId="2134520767">
    <w:abstractNumId w:val="5"/>
  </w:num>
  <w:num w:numId="4" w16cid:durableId="743647175">
    <w:abstractNumId w:val="4"/>
  </w:num>
  <w:num w:numId="5" w16cid:durableId="2042583531">
    <w:abstractNumId w:val="7"/>
  </w:num>
  <w:num w:numId="6" w16cid:durableId="1474904054">
    <w:abstractNumId w:val="3"/>
  </w:num>
  <w:num w:numId="7" w16cid:durableId="970523511">
    <w:abstractNumId w:val="2"/>
  </w:num>
  <w:num w:numId="8" w16cid:durableId="1494906285">
    <w:abstractNumId w:val="1"/>
  </w:num>
  <w:num w:numId="9" w16cid:durableId="104093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C9A"/>
    <w:rsid w:val="0015074B"/>
    <w:rsid w:val="0029639D"/>
    <w:rsid w:val="002C1CD4"/>
    <w:rsid w:val="00326F90"/>
    <w:rsid w:val="0040686A"/>
    <w:rsid w:val="0042347E"/>
    <w:rsid w:val="00624B82"/>
    <w:rsid w:val="00663665"/>
    <w:rsid w:val="00762CBC"/>
    <w:rsid w:val="00824554"/>
    <w:rsid w:val="00AA1D8D"/>
    <w:rsid w:val="00B3244F"/>
    <w:rsid w:val="00B47730"/>
    <w:rsid w:val="00CB0664"/>
    <w:rsid w:val="00D0436C"/>
    <w:rsid w:val="00D32FB6"/>
    <w:rsid w:val="00D45B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091355"/>
  <w14:defaultImageDpi w14:val="300"/>
  <w15:docId w15:val="{F1ABD57F-1DA2-4CCB-ADE8-5B46CFD8A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2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Bitunjac | Grad Trilj</dc:creator>
  <cp:keywords/>
  <dc:description>generated by python-docx</dc:description>
  <cp:lastModifiedBy>Marko Varvodić</cp:lastModifiedBy>
  <cp:revision>3</cp:revision>
  <dcterms:created xsi:type="dcterms:W3CDTF">2026-10-16T12:29:00Z</dcterms:created>
  <dcterms:modified xsi:type="dcterms:W3CDTF">2026-10-16T12:33:00Z</dcterms:modified>
  <cp:category/>
</cp:coreProperties>
</file>